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62"/>
      </w:tblGrid>
      <w:tr w:rsidR="00AD2F0E" w:rsidTr="0099384B">
        <w:trPr>
          <w:cnfStyle w:val="000000100000" w:firstRow="0" w:lastRow="0" w:firstColumn="0" w:lastColumn="0" w:oddVBand="0" w:evenVBand="0" w:oddHBand="1" w:evenHBand="0" w:firstRowFirstColumn="0" w:firstRowLastColumn="0" w:lastRowFirstColumn="0" w:lastRowLastColumn="0"/>
        </w:trPr>
        <w:tc>
          <w:tcPr>
            <w:tcW w:w="8962" w:type="dxa"/>
          </w:tcPr>
          <w:sdt>
            <w:sdtPr>
              <w:alias w:val="Title"/>
              <w:tag w:val=""/>
              <w:id w:val="-1091463739"/>
              <w:placeholder>
                <w:docPart w:val="44EF7FFCC34F452B8074CDCA7BDF756E"/>
              </w:placeholder>
              <w:dataBinding w:prefixMappings="xmlns:ns0='http://purl.org/dc/elements/1.1/' xmlns:ns1='http://schemas.openxmlformats.org/package/2006/metadata/core-properties' " w:xpath="/ns1:coreProperties[1]/ns0:title[1]" w:storeItemID="{6C3C8BC8-F283-45AE-878A-BAB7291924A1}"/>
              <w:text/>
            </w:sdtPr>
            <w:sdtEndPr/>
            <w:sdtContent>
              <w:p w:rsidR="00F334F4" w:rsidRDefault="00B2653E" w:rsidP="00F334F4">
                <w:pPr>
                  <w:pStyle w:val="Title"/>
                </w:pPr>
                <w:r>
                  <w:t xml:space="preserve">State Street Global Advisors </w:t>
                </w:r>
                <w:r w:rsidR="0099384B">
                  <w:t xml:space="preserve">Ireland </w:t>
                </w:r>
                <w:r>
                  <w:t>Limited (“SSGA”)</w:t>
                </w:r>
                <w:r w:rsidRPr="00BF6573">
                  <w:t xml:space="preserve"> </w:t>
                </w:r>
                <w:r w:rsidR="00252E59">
                  <w:t>Q</w:t>
                </w:r>
                <w:r>
                  <w:t>uality of Execution Assessment Report</w:t>
                </w:r>
              </w:p>
            </w:sdtContent>
          </w:sdt>
          <w:p w:rsidR="00AD2F0E" w:rsidRDefault="00AD2F0E" w:rsidP="00F334F4">
            <w:pPr>
              <w:pStyle w:val="Subtitle"/>
            </w:pPr>
          </w:p>
        </w:tc>
      </w:tr>
    </w:tbl>
    <w:sdt>
      <w:sdtPr>
        <w:rPr>
          <w:rFonts w:asciiTheme="majorHAnsi" w:hAnsiTheme="majorHAnsi"/>
          <w:sz w:val="18"/>
          <w:szCs w:val="18"/>
        </w:rPr>
        <w:alias w:val="dist_level"/>
        <w:tag w:val="dist_level"/>
        <w:id w:val="-1760211257"/>
        <w:lock w:val="sdtLocked"/>
        <w:placeholder>
          <w:docPart w:val="C5521F876794471C9055600A4A6F1471"/>
        </w:placeholder>
        <w:dataBinding w:xpath="/root[1]/dist_level[1]" w:storeItemID="{D2DCB782-FC6F-44A4-985A-7D7D2EA0703E}"/>
        <w:dropDownList w:lastValue="ssga.com">
          <w:listItem w:displayText="ssga.com" w:value="ssga.com"/>
          <w:listItem w:displayText="Highly Confidential" w:value="Highly Confidential"/>
          <w:listItem w:displayText="Confidential" w:value="Confidential"/>
          <w:listItem w:displayText="Limited Access" w:value="Limited Access"/>
          <w:listItem w:displayText="Company Internal" w:value="Company Internal"/>
          <w:listItem w:displayText="General" w:value="General"/>
        </w:dropDownList>
      </w:sdtPr>
      <w:sdtEndPr/>
      <w:sdtContent>
        <w:p w:rsidR="007C13A8" w:rsidRPr="00917562" w:rsidRDefault="007C13A8" w:rsidP="007C13A8">
          <w:pPr>
            <w:framePr w:w="2160" w:h="216" w:hRule="exact" w:wrap="notBeside" w:vAnchor="page" w:hAnchor="page" w:x="7393" w:y="11169"/>
            <w:spacing w:before="0" w:after="0" w:line="240" w:lineRule="auto"/>
            <w:jc w:val="center"/>
            <w:rPr>
              <w:rFonts w:asciiTheme="majorHAnsi" w:hAnsiTheme="majorHAnsi"/>
              <w:sz w:val="18"/>
              <w:szCs w:val="18"/>
            </w:rPr>
          </w:pPr>
          <w:r>
            <w:rPr>
              <w:rFonts w:asciiTheme="majorHAnsi" w:hAnsiTheme="majorHAnsi"/>
              <w:sz w:val="18"/>
              <w:szCs w:val="18"/>
            </w:rPr>
            <w:t>ssga.com</w:t>
          </w:r>
        </w:p>
      </w:sdtContent>
    </w:sdt>
    <w:p w:rsidR="00AD2F0E" w:rsidRDefault="00AD2F0E" w:rsidP="00AD2F0E">
      <w:pPr>
        <w:pStyle w:val="sectionbreak"/>
      </w:pPr>
    </w:p>
    <w:p w:rsidR="00AD2F0E" w:rsidRDefault="00AD2F0E" w:rsidP="00AD2F0E">
      <w:pPr>
        <w:sectPr w:rsidR="00AD2F0E" w:rsidSect="00A50610">
          <w:headerReference w:type="even" r:id="rId9"/>
          <w:headerReference w:type="default" r:id="rId10"/>
          <w:footerReference w:type="even" r:id="rId11"/>
          <w:footerReference w:type="default" r:id="rId12"/>
          <w:headerReference w:type="first" r:id="rId13"/>
          <w:footerReference w:type="first" r:id="rId14"/>
          <w:pgSz w:w="16834" w:h="11909" w:orient="landscape" w:code="9"/>
          <w:pgMar w:top="288" w:right="2419" w:bottom="1008" w:left="547" w:header="288" w:footer="504" w:gutter="0"/>
          <w:cols w:space="720"/>
          <w:docGrid w:linePitch="360"/>
        </w:sectPr>
      </w:pPr>
    </w:p>
    <w:p w:rsidR="00B2653E" w:rsidRDefault="00B2653E" w:rsidP="00B2653E">
      <w:pPr>
        <w:rPr>
          <w:b/>
        </w:rPr>
      </w:pP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Explanation of the relative importance SSGA gave to the execution factors of price, costs, speed, likelihood of execution or any other consideration including qualitative factors when assessing the quality of execution</w:t>
      </w:r>
    </w:p>
    <w:p w:rsidR="00B2653E" w:rsidRPr="00B2653E" w:rsidRDefault="00B2653E" w:rsidP="00B2653E">
      <w:pPr>
        <w:ind w:left="720"/>
        <w:rPr>
          <w:sz w:val="24"/>
        </w:rPr>
      </w:pPr>
      <w:r w:rsidRPr="00B2653E">
        <w:rPr>
          <w:sz w:val="24"/>
        </w:rPr>
        <w:t xml:space="preserve">Please refer to Schedule 1 to this report. </w:t>
      </w:r>
    </w:p>
    <w:p w:rsidR="00B2653E" w:rsidRPr="00B2653E" w:rsidRDefault="00B2653E" w:rsidP="00B2653E">
      <w:pPr>
        <w:pStyle w:val="ListParagraph"/>
        <w:numPr>
          <w:ilvl w:val="0"/>
          <w:numId w:val="28"/>
        </w:numPr>
        <w:spacing w:after="200" w:line="276" w:lineRule="auto"/>
        <w:contextualSpacing/>
        <w:rPr>
          <w:rFonts w:asciiTheme="minorHAnsi" w:hAnsiTheme="minorHAnsi"/>
          <w:szCs w:val="24"/>
        </w:rPr>
      </w:pPr>
      <w:r w:rsidRPr="00B2653E">
        <w:rPr>
          <w:rFonts w:asciiTheme="minorHAnsi" w:hAnsiTheme="minorHAnsi"/>
          <w:b/>
          <w:szCs w:val="24"/>
        </w:rPr>
        <w:t>Description of any close links, conflicts of interests, and common ownerships with respect to any execution venues used by SSGA to execute orders</w:t>
      </w:r>
      <w:r w:rsidRPr="00B2653E">
        <w:rPr>
          <w:rFonts w:asciiTheme="minorHAnsi" w:hAnsiTheme="minorHAnsi"/>
          <w:b/>
          <w:szCs w:val="24"/>
        </w:rPr>
        <w:br/>
      </w:r>
      <w:r w:rsidRPr="00B2653E">
        <w:rPr>
          <w:rFonts w:asciiTheme="minorHAnsi" w:hAnsiTheme="minorHAnsi"/>
          <w:szCs w:val="24"/>
        </w:rPr>
        <w:br/>
      </w:r>
      <w:r w:rsidRPr="00B2653E">
        <w:rPr>
          <w:rFonts w:asciiTheme="minorHAnsi" w:hAnsiTheme="minorHAnsi"/>
          <w:b/>
          <w:szCs w:val="24"/>
        </w:rPr>
        <w:t>Foreign exchange</w:t>
      </w:r>
    </w:p>
    <w:p w:rsidR="00B2653E" w:rsidRDefault="00B2653E" w:rsidP="00B2653E">
      <w:pPr>
        <w:pStyle w:val="ListParagraph"/>
        <w:rPr>
          <w:rFonts w:ascii="Calibri" w:hAnsi="Calibri"/>
          <w:szCs w:val="24"/>
        </w:rPr>
      </w:pPr>
    </w:p>
    <w:p w:rsidR="00B2653E" w:rsidRPr="00B2653E" w:rsidRDefault="00B2653E" w:rsidP="00B2653E">
      <w:pPr>
        <w:pStyle w:val="ListParagraph"/>
        <w:rPr>
          <w:rFonts w:asciiTheme="minorHAnsi" w:hAnsiTheme="minorHAnsi" w:cs="Arial"/>
          <w:szCs w:val="24"/>
        </w:rPr>
      </w:pPr>
      <w:r w:rsidRPr="00B2653E">
        <w:rPr>
          <w:rFonts w:asciiTheme="minorHAnsi" w:hAnsiTheme="minorHAnsi"/>
          <w:szCs w:val="24"/>
        </w:rPr>
        <w:t xml:space="preserve">SSGA used a panel of Trading Counterparties for foreign exchange transactions, which included State Street Bank and Trust Company, which is an affiliate of SSGA.  Subject to its duty of best execution, SSGA entered into certain foreign exchange transactions on behalf of Accounts with State Street Bank and Trust Company.  </w:t>
      </w:r>
      <w:r w:rsidRPr="00B2653E">
        <w:rPr>
          <w:rFonts w:asciiTheme="minorHAnsi" w:hAnsiTheme="minorHAnsi"/>
          <w:szCs w:val="24"/>
        </w:rPr>
        <w:br/>
      </w:r>
      <w:r w:rsidRPr="00B2653E">
        <w:rPr>
          <w:rFonts w:asciiTheme="minorHAnsi" w:hAnsiTheme="minorHAnsi"/>
          <w:szCs w:val="24"/>
        </w:rPr>
        <w:br/>
        <w:t xml:space="preserve">For certain foreign exchange transactions, SSGA coordinated with the relevant Account’s global custodian to place and execute foreign exchange transactions (which for certain Accounts included placing of such transactions with a State Street group entity). SSGA adopted this approach when it was not reasonably possible for SSGA to directly negotiate foreign exchange trades in a market (e.g., when SSGA was restricted from dealing in a local market, suitable counterparties had not been identified, or it was seeking to mitigate operational or settlement risk in the local market). </w:t>
      </w:r>
      <w:r w:rsidRPr="00B2653E">
        <w:rPr>
          <w:rFonts w:asciiTheme="minorHAnsi" w:hAnsiTheme="minorHAnsi"/>
          <w:szCs w:val="24"/>
        </w:rPr>
        <w:br/>
      </w:r>
      <w:r w:rsidRPr="00B2653E">
        <w:rPr>
          <w:rFonts w:asciiTheme="minorHAnsi" w:hAnsiTheme="minorHAnsi"/>
          <w:szCs w:val="24"/>
        </w:rPr>
        <w:br/>
        <w:t xml:space="preserve">SSGA executed foreign exchange transactions with Trading Counterparties using FX Connect, which is owned and operated by the State Street group of companies.  </w:t>
      </w:r>
      <w:r w:rsidRPr="00B2653E">
        <w:rPr>
          <w:rFonts w:asciiTheme="minorHAnsi" w:hAnsiTheme="minorHAnsi" w:cs="Arial"/>
          <w:szCs w:val="24"/>
        </w:rPr>
        <w:t xml:space="preserve">  </w:t>
      </w:r>
    </w:p>
    <w:p w:rsidR="00B2653E" w:rsidRPr="00B2653E" w:rsidRDefault="00B2653E" w:rsidP="00B2653E">
      <w:pPr>
        <w:pStyle w:val="ListParagraph"/>
        <w:rPr>
          <w:rFonts w:asciiTheme="minorHAnsi" w:hAnsiTheme="minorHAnsi" w:cs="Arial"/>
          <w:szCs w:val="24"/>
        </w:rPr>
      </w:pPr>
    </w:p>
    <w:p w:rsidR="00B2653E" w:rsidRPr="00B2653E" w:rsidRDefault="00B2653E" w:rsidP="00B2653E">
      <w:pPr>
        <w:pStyle w:val="ListParagraph"/>
        <w:rPr>
          <w:rFonts w:asciiTheme="minorHAnsi" w:hAnsiTheme="minorHAnsi"/>
          <w:b/>
          <w:szCs w:val="24"/>
        </w:rPr>
      </w:pPr>
      <w:r w:rsidRPr="00B2653E">
        <w:rPr>
          <w:rFonts w:asciiTheme="minorHAnsi" w:hAnsiTheme="minorHAnsi"/>
          <w:b/>
          <w:szCs w:val="24"/>
        </w:rPr>
        <w:t xml:space="preserve">General comment </w:t>
      </w:r>
      <w:r w:rsidRPr="00B2653E">
        <w:rPr>
          <w:rFonts w:asciiTheme="minorHAnsi" w:hAnsiTheme="minorHAnsi"/>
          <w:b/>
          <w:szCs w:val="24"/>
        </w:rPr>
        <w:br/>
      </w:r>
    </w:p>
    <w:p w:rsidR="00B2653E" w:rsidRPr="00B2653E" w:rsidRDefault="00B2653E" w:rsidP="00B2653E">
      <w:pPr>
        <w:pStyle w:val="ListParagraph"/>
        <w:rPr>
          <w:rFonts w:asciiTheme="minorHAnsi" w:hAnsiTheme="minorHAnsi"/>
          <w:szCs w:val="24"/>
        </w:rPr>
      </w:pPr>
      <w:r w:rsidRPr="00B2653E">
        <w:rPr>
          <w:rFonts w:asciiTheme="minorHAnsi" w:hAnsiTheme="minorHAnsi"/>
          <w:szCs w:val="24"/>
        </w:rPr>
        <w:t xml:space="preserve">Where appropriate taking into account the nature of the order, SSGA transmitted orders to be executed by the State Street Global Advisors trading desks located in the United States and in Hong Kong.  The State Street Global Advisors United States trading desk forms part of State Street </w:t>
      </w:r>
      <w:r w:rsidR="00B94D60">
        <w:rPr>
          <w:rFonts w:asciiTheme="minorHAnsi" w:hAnsiTheme="minorHAnsi"/>
          <w:szCs w:val="24"/>
        </w:rPr>
        <w:t xml:space="preserve">Global Advisors Trust Company </w:t>
      </w:r>
      <w:r w:rsidRPr="00B2653E">
        <w:rPr>
          <w:rFonts w:asciiTheme="minorHAnsi" w:hAnsiTheme="minorHAnsi"/>
          <w:szCs w:val="24"/>
        </w:rPr>
        <w:t xml:space="preserve">and the State Street Global Advisors Hong Kong trading desk forms part of State Street Global Advisors Asia Limited.  State Street </w:t>
      </w:r>
      <w:r w:rsidR="00B94D60">
        <w:rPr>
          <w:rFonts w:asciiTheme="minorHAnsi" w:hAnsiTheme="minorHAnsi"/>
          <w:szCs w:val="24"/>
        </w:rPr>
        <w:t xml:space="preserve">Global Advisors Trust Company </w:t>
      </w:r>
      <w:r w:rsidRPr="00B2653E">
        <w:rPr>
          <w:rFonts w:asciiTheme="minorHAnsi" w:hAnsiTheme="minorHAnsi"/>
          <w:szCs w:val="24"/>
        </w:rPr>
        <w:t xml:space="preserve">and State Street Global Advisors Asia Limited are affiliates of SSGA.  The State Street Global Advisors United States and Hong Kong trading desks acted as agent (not as principal) and orders were executed by them using their panel of venues and Trading Counterparties and taking into account their </w:t>
      </w:r>
      <w:r w:rsidRPr="00B2653E">
        <w:rPr>
          <w:rFonts w:asciiTheme="minorHAnsi" w:hAnsiTheme="minorHAnsi"/>
          <w:bCs/>
          <w:szCs w:val="24"/>
        </w:rPr>
        <w:t>best execution and applicable local market requirements and practices</w:t>
      </w:r>
      <w:r w:rsidRPr="00B2653E">
        <w:rPr>
          <w:rFonts w:asciiTheme="minorHAnsi" w:hAnsiTheme="minorHAnsi"/>
          <w:szCs w:val="24"/>
        </w:rPr>
        <w:t>.</w:t>
      </w:r>
    </w:p>
    <w:p w:rsidR="00B2653E" w:rsidRPr="00B2653E" w:rsidRDefault="00B2653E" w:rsidP="00B2653E">
      <w:pPr>
        <w:pStyle w:val="ListParagraph"/>
        <w:rPr>
          <w:rFonts w:asciiTheme="minorHAnsi" w:hAnsiTheme="minorHAnsi"/>
          <w:szCs w:val="24"/>
        </w:rPr>
      </w:pPr>
    </w:p>
    <w:p w:rsidR="00B2653E" w:rsidRPr="00B2653E" w:rsidRDefault="00B2653E" w:rsidP="00B2653E">
      <w:pPr>
        <w:pStyle w:val="ListParagraph"/>
        <w:numPr>
          <w:ilvl w:val="0"/>
          <w:numId w:val="28"/>
        </w:numPr>
        <w:spacing w:after="200" w:line="276" w:lineRule="auto"/>
        <w:contextualSpacing/>
        <w:rPr>
          <w:rFonts w:asciiTheme="minorHAnsi" w:hAnsiTheme="minorHAnsi"/>
          <w:szCs w:val="24"/>
        </w:rPr>
      </w:pPr>
      <w:r w:rsidRPr="00B2653E">
        <w:rPr>
          <w:rFonts w:asciiTheme="minorHAnsi" w:hAnsiTheme="minorHAnsi"/>
          <w:b/>
          <w:bCs/>
          <w:szCs w:val="24"/>
        </w:rPr>
        <w:t>Description of any specific arrangements with any execution venues regarding payments made or received, discounts, rebates or non-monetary benefits received</w:t>
      </w:r>
      <w:r w:rsidRPr="00B2653E">
        <w:rPr>
          <w:rFonts w:asciiTheme="minorHAnsi" w:hAnsiTheme="minorHAnsi"/>
          <w:b/>
          <w:bCs/>
          <w:szCs w:val="24"/>
        </w:rPr>
        <w:br/>
      </w:r>
      <w:r w:rsidRPr="00B2653E">
        <w:rPr>
          <w:rFonts w:asciiTheme="minorHAnsi" w:hAnsiTheme="minorHAnsi"/>
          <w:b/>
          <w:bCs/>
          <w:szCs w:val="24"/>
        </w:rPr>
        <w:br/>
        <w:t>Foreign exchange</w:t>
      </w:r>
    </w:p>
    <w:p w:rsidR="00B2653E" w:rsidRPr="00B2653E" w:rsidRDefault="00B2653E" w:rsidP="00B2653E">
      <w:pPr>
        <w:ind w:left="720"/>
        <w:rPr>
          <w:sz w:val="24"/>
        </w:rPr>
      </w:pPr>
      <w:r w:rsidRPr="00B2653E">
        <w:rPr>
          <w:sz w:val="24"/>
        </w:rPr>
        <w:t xml:space="preserve">As mentioned above, SSGA executed foreign exchange transactions with Trading Counterparties using FX Connect, which is owned and operated by the State Street group of companies.  Trading Counterparties that SSGA traded with on behalf of Accounts </w:t>
      </w:r>
      <w:r w:rsidRPr="00B2653E">
        <w:rPr>
          <w:rFonts w:cs="Arial"/>
          <w:sz w:val="24"/>
        </w:rPr>
        <w:t>typically paid fees to a State Street group entity to use FX Connect.</w:t>
      </w:r>
    </w:p>
    <w:p w:rsidR="00B2653E" w:rsidRPr="00B2653E" w:rsidRDefault="00B2653E" w:rsidP="00B2653E">
      <w:pPr>
        <w:spacing w:after="0" w:line="240" w:lineRule="auto"/>
        <w:ind w:left="720"/>
        <w:rPr>
          <w:sz w:val="24"/>
        </w:rPr>
      </w:pP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Explanation of the factors that led to a change in the list of execution venues listed in SSGA's execution policy, if such a change occurred</w:t>
      </w:r>
    </w:p>
    <w:p w:rsidR="00B2653E" w:rsidRPr="00B2653E" w:rsidRDefault="00B2653E" w:rsidP="00B2653E">
      <w:pPr>
        <w:pStyle w:val="ListParagraph"/>
        <w:rPr>
          <w:rFonts w:asciiTheme="minorHAnsi" w:hAnsiTheme="minorHAnsi"/>
          <w:szCs w:val="24"/>
        </w:rPr>
      </w:pPr>
    </w:p>
    <w:p w:rsidR="00B2653E" w:rsidRPr="00B2653E" w:rsidRDefault="00B2653E" w:rsidP="00B2653E">
      <w:pPr>
        <w:pStyle w:val="ListParagraph"/>
        <w:rPr>
          <w:rFonts w:asciiTheme="minorHAnsi" w:hAnsiTheme="minorHAnsi"/>
          <w:szCs w:val="24"/>
        </w:rPr>
      </w:pPr>
      <w:r w:rsidRPr="00B2653E">
        <w:rPr>
          <w:rFonts w:asciiTheme="minorHAnsi" w:hAnsiTheme="minorHAnsi"/>
          <w:b/>
          <w:szCs w:val="24"/>
        </w:rPr>
        <w:t>Equities</w:t>
      </w:r>
      <w:r w:rsidRPr="00B2653E">
        <w:rPr>
          <w:rFonts w:asciiTheme="minorHAnsi" w:hAnsiTheme="minorHAnsi"/>
          <w:b/>
          <w:szCs w:val="24"/>
        </w:rPr>
        <w:br/>
      </w:r>
      <w:r w:rsidRPr="00B2653E">
        <w:rPr>
          <w:rFonts w:asciiTheme="minorHAnsi" w:hAnsiTheme="minorHAnsi"/>
          <w:szCs w:val="24"/>
        </w:rPr>
        <w:br/>
      </w:r>
      <w:r w:rsidRPr="00B2653E">
        <w:rPr>
          <w:rFonts w:asciiTheme="minorHAnsi" w:hAnsiTheme="minorHAnsi"/>
          <w:color w:val="000000" w:themeColor="text1"/>
          <w:szCs w:val="24"/>
        </w:rPr>
        <w:t xml:space="preserve">SSGA made certain changes to Execution Venues and Trading Counterparties used by it as a result of changes in market conditions/structure.  </w:t>
      </w:r>
    </w:p>
    <w:p w:rsidR="00B2653E" w:rsidRPr="00B2653E" w:rsidRDefault="00B2653E" w:rsidP="00B2653E">
      <w:pPr>
        <w:pStyle w:val="ListParagraph"/>
        <w:rPr>
          <w:rFonts w:asciiTheme="minorHAnsi" w:hAnsiTheme="minorHAnsi"/>
          <w:b/>
          <w:szCs w:val="24"/>
        </w:rPr>
      </w:pPr>
      <w:r w:rsidRPr="00B2653E">
        <w:rPr>
          <w:rFonts w:asciiTheme="minorHAnsi" w:hAnsiTheme="minorHAnsi"/>
          <w:b/>
          <w:szCs w:val="24"/>
        </w:rPr>
        <w:t>Foreign Exchange</w:t>
      </w:r>
    </w:p>
    <w:p w:rsidR="00B2653E" w:rsidRPr="00B2653E" w:rsidRDefault="00B2653E" w:rsidP="00B2653E">
      <w:pPr>
        <w:pStyle w:val="ListParagraph"/>
        <w:rPr>
          <w:rFonts w:asciiTheme="minorHAnsi" w:hAnsiTheme="minorHAnsi"/>
          <w:szCs w:val="24"/>
        </w:rPr>
      </w:pPr>
    </w:p>
    <w:p w:rsidR="00B2653E" w:rsidRPr="00B2653E" w:rsidRDefault="00B2653E" w:rsidP="00B2653E">
      <w:pPr>
        <w:pStyle w:val="ListParagraph"/>
        <w:rPr>
          <w:rFonts w:asciiTheme="minorHAnsi" w:hAnsiTheme="minorHAnsi"/>
          <w:szCs w:val="24"/>
        </w:rPr>
      </w:pPr>
      <w:r w:rsidRPr="00B2653E">
        <w:rPr>
          <w:rFonts w:asciiTheme="minorHAnsi" w:hAnsiTheme="minorHAnsi"/>
          <w:szCs w:val="24"/>
        </w:rPr>
        <w:t>SSGA use</w:t>
      </w:r>
      <w:r w:rsidR="00B1187A">
        <w:rPr>
          <w:rFonts w:asciiTheme="minorHAnsi" w:hAnsiTheme="minorHAnsi"/>
          <w:szCs w:val="24"/>
        </w:rPr>
        <w:t>d</w:t>
      </w:r>
      <w:r w:rsidRPr="00B2653E">
        <w:rPr>
          <w:rFonts w:asciiTheme="minorHAnsi" w:hAnsiTheme="minorHAnsi"/>
          <w:szCs w:val="24"/>
        </w:rPr>
        <w:t xml:space="preserve"> Bloomberg for certain foreign exchange trading due to the requirements of an alternative strategy account</w:t>
      </w:r>
      <w:r w:rsidR="00B1187A">
        <w:rPr>
          <w:rFonts w:asciiTheme="minorHAnsi" w:hAnsiTheme="minorHAnsi"/>
          <w:szCs w:val="24"/>
        </w:rPr>
        <w:t>, which was subsequently closed in the fourth quarter in 2018</w:t>
      </w:r>
      <w:r w:rsidRPr="00B2653E">
        <w:rPr>
          <w:rFonts w:asciiTheme="minorHAnsi" w:hAnsiTheme="minorHAnsi"/>
          <w:szCs w:val="24"/>
        </w:rPr>
        <w:t>.</w:t>
      </w:r>
      <w:r w:rsidRPr="00B2653E">
        <w:rPr>
          <w:rFonts w:asciiTheme="minorHAnsi" w:hAnsiTheme="minorHAnsi"/>
          <w:szCs w:val="24"/>
        </w:rPr>
        <w:br/>
      </w:r>
    </w:p>
    <w:p w:rsidR="00DB7BF3" w:rsidRDefault="00DB7BF3">
      <w:pPr>
        <w:spacing w:before="0" w:after="0" w:line="240" w:lineRule="auto"/>
        <w:rPr>
          <w:b/>
          <w:sz w:val="24"/>
        </w:rPr>
      </w:pPr>
      <w:r>
        <w:rPr>
          <w:b/>
        </w:rPr>
        <w:br w:type="page"/>
      </w:r>
    </w:p>
    <w:p w:rsidR="00B2653E" w:rsidRPr="00B2653E" w:rsidRDefault="00B2653E" w:rsidP="00B2653E">
      <w:pPr>
        <w:pStyle w:val="ListParagraph"/>
        <w:rPr>
          <w:rFonts w:asciiTheme="minorHAnsi" w:hAnsiTheme="minorHAnsi"/>
          <w:b/>
          <w:bCs/>
          <w:szCs w:val="24"/>
        </w:rPr>
      </w:pPr>
      <w:r w:rsidRPr="00B2653E">
        <w:rPr>
          <w:rFonts w:asciiTheme="minorHAnsi" w:hAnsiTheme="minorHAnsi"/>
          <w:b/>
          <w:szCs w:val="24"/>
        </w:rPr>
        <w:t>General Comment</w:t>
      </w:r>
      <w:r w:rsidRPr="00B2653E">
        <w:rPr>
          <w:rFonts w:asciiTheme="minorHAnsi" w:hAnsiTheme="minorHAnsi"/>
          <w:szCs w:val="24"/>
        </w:rPr>
        <w:t xml:space="preserve"> </w:t>
      </w:r>
      <w:r w:rsidRPr="00B2653E">
        <w:rPr>
          <w:rFonts w:asciiTheme="minorHAnsi" w:hAnsiTheme="minorHAnsi"/>
          <w:szCs w:val="24"/>
        </w:rPr>
        <w:br/>
      </w:r>
      <w:r w:rsidRPr="00B2653E">
        <w:rPr>
          <w:rFonts w:asciiTheme="minorHAnsi" w:hAnsiTheme="minorHAnsi"/>
          <w:szCs w:val="24"/>
        </w:rPr>
        <w:br/>
        <w:t>SSGA ceased to use certain execution Trading Counterparties as result of concerns relating to: pricing, credit concerns or insufficient trading volume.</w:t>
      </w:r>
    </w:p>
    <w:p w:rsidR="00B2653E" w:rsidRPr="00B2653E" w:rsidRDefault="00B2653E" w:rsidP="00B2653E">
      <w:pPr>
        <w:pStyle w:val="ListParagraph"/>
        <w:rPr>
          <w:rFonts w:asciiTheme="minorHAnsi" w:hAnsiTheme="minorHAnsi"/>
          <w:szCs w:val="24"/>
        </w:rPr>
      </w:pPr>
      <w:r w:rsidRPr="00B2653E">
        <w:rPr>
          <w:rFonts w:asciiTheme="minorHAnsi" w:hAnsiTheme="minorHAnsi"/>
          <w:szCs w:val="24"/>
        </w:rPr>
        <w:br/>
        <w:t xml:space="preserve">If a client directed SSGA to trade with one or more specific counterparty(ies), SSGA executed or transmitted the client’s order(s) following the client's specific instruction.   </w:t>
      </w:r>
    </w:p>
    <w:p w:rsidR="00B2653E" w:rsidRPr="00B2653E" w:rsidRDefault="00B2653E" w:rsidP="00B2653E">
      <w:pPr>
        <w:ind w:left="720"/>
        <w:rPr>
          <w:sz w:val="24"/>
        </w:rPr>
      </w:pP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Explanation of how order execution differs according to client categorisation, where SSGA  treats categories of clients differently and where it may affect the order execution arrangements</w:t>
      </w:r>
    </w:p>
    <w:p w:rsidR="00B2653E" w:rsidRPr="00B2653E" w:rsidRDefault="00B2653E" w:rsidP="00B2653E">
      <w:pPr>
        <w:pStyle w:val="ListParagraph"/>
        <w:rPr>
          <w:rFonts w:asciiTheme="minorHAnsi" w:hAnsiTheme="minorHAnsi"/>
          <w:szCs w:val="24"/>
        </w:rPr>
      </w:pPr>
    </w:p>
    <w:p w:rsidR="00B2653E" w:rsidRPr="00B2653E" w:rsidRDefault="0099384B" w:rsidP="00B2653E">
      <w:pPr>
        <w:pStyle w:val="ListParagraph"/>
        <w:rPr>
          <w:rFonts w:asciiTheme="minorHAnsi" w:hAnsiTheme="minorHAnsi"/>
          <w:szCs w:val="24"/>
        </w:rPr>
      </w:pPr>
      <w:r w:rsidRPr="00214B15">
        <w:rPr>
          <w:rFonts w:asciiTheme="minorHAnsi" w:hAnsiTheme="minorHAnsi"/>
          <w:szCs w:val="24"/>
        </w:rPr>
        <w:t>SSGA did not differentiate between professional clients and retail clients when executing or transmitting orders</w:t>
      </w:r>
      <w:r>
        <w:rPr>
          <w:rFonts w:asciiTheme="minorHAnsi" w:hAnsiTheme="minorHAnsi"/>
          <w:szCs w:val="24"/>
        </w:rPr>
        <w:t>.</w:t>
      </w:r>
    </w:p>
    <w:p w:rsidR="00B2653E" w:rsidRPr="00B2653E" w:rsidRDefault="00B2653E" w:rsidP="00B2653E">
      <w:pPr>
        <w:ind w:left="720"/>
        <w:rPr>
          <w:sz w:val="24"/>
        </w:rPr>
      </w:pP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Explanation of whether other criteria were given precedence over immediate price and cost when executing retail client orders and how these other criteria were instrumental in delivering the best possible result in terms of the total consideration to the client</w:t>
      </w:r>
    </w:p>
    <w:p w:rsidR="00B2653E" w:rsidRPr="00B2653E" w:rsidRDefault="00B2653E" w:rsidP="00B2653E">
      <w:pPr>
        <w:pStyle w:val="ListParagraph"/>
        <w:rPr>
          <w:rFonts w:asciiTheme="minorHAnsi" w:hAnsiTheme="minorHAnsi"/>
          <w:b/>
          <w:szCs w:val="24"/>
        </w:rPr>
      </w:pPr>
    </w:p>
    <w:p w:rsidR="0099384B" w:rsidRPr="00B2653E" w:rsidRDefault="0099384B" w:rsidP="0099384B">
      <w:pPr>
        <w:spacing w:after="0" w:line="240" w:lineRule="auto"/>
        <w:ind w:left="720"/>
        <w:rPr>
          <w:sz w:val="24"/>
        </w:rPr>
      </w:pPr>
      <w:r w:rsidRPr="00214B15">
        <w:rPr>
          <w:sz w:val="24"/>
        </w:rPr>
        <w:t>SSGA did not give precedence to any criteria other than immediate price and cost when executing or transmitting retail client orders</w:t>
      </w:r>
      <w:r>
        <w:rPr>
          <w:sz w:val="24"/>
        </w:rPr>
        <w:t>.</w:t>
      </w:r>
    </w:p>
    <w:p w:rsidR="00B2653E" w:rsidRPr="00B2653E" w:rsidRDefault="00B2653E" w:rsidP="00B2653E">
      <w:pPr>
        <w:spacing w:after="0" w:line="240" w:lineRule="auto"/>
        <w:ind w:left="720"/>
        <w:rPr>
          <w:sz w:val="24"/>
        </w:rPr>
      </w:pPr>
      <w:r w:rsidRPr="00B2653E">
        <w:rPr>
          <w:sz w:val="24"/>
        </w:rPr>
        <w:t xml:space="preserve"> </w:t>
      </w:r>
    </w:p>
    <w:p w:rsidR="00B2653E" w:rsidRPr="00B2653E" w:rsidRDefault="00B2653E" w:rsidP="00B2653E">
      <w:pPr>
        <w:pStyle w:val="ListParagraph"/>
        <w:rPr>
          <w:rFonts w:asciiTheme="minorHAnsi" w:hAnsiTheme="minorHAnsi"/>
          <w:b/>
          <w:szCs w:val="24"/>
        </w:rPr>
      </w:pPr>
    </w:p>
    <w:p w:rsidR="00DB7BF3" w:rsidRDefault="00DB7BF3">
      <w:pPr>
        <w:spacing w:before="0" w:after="0" w:line="240" w:lineRule="auto"/>
        <w:rPr>
          <w:b/>
          <w:sz w:val="24"/>
        </w:rPr>
      </w:pPr>
      <w:r>
        <w:rPr>
          <w:b/>
        </w:rPr>
        <w:br w:type="page"/>
      </w: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Explanation of how SSGA  has used any data or tools relating to the quality of execution, including any data published under Delegated Regulation (EU) 2017/575</w:t>
      </w:r>
    </w:p>
    <w:p w:rsidR="00B2653E" w:rsidRPr="00B2653E" w:rsidRDefault="00B2653E" w:rsidP="00B2653E">
      <w:pPr>
        <w:pStyle w:val="ListParagraph"/>
        <w:rPr>
          <w:rFonts w:asciiTheme="minorHAnsi" w:hAnsiTheme="minorHAnsi"/>
          <w:b/>
          <w:szCs w:val="24"/>
        </w:rPr>
      </w:pPr>
    </w:p>
    <w:p w:rsidR="00B2653E" w:rsidRPr="00B2653E" w:rsidRDefault="00B2653E" w:rsidP="00B2653E">
      <w:pPr>
        <w:pStyle w:val="ListParagraph"/>
        <w:rPr>
          <w:rFonts w:asciiTheme="minorHAnsi" w:hAnsiTheme="minorHAnsi"/>
          <w:szCs w:val="24"/>
        </w:rPr>
      </w:pPr>
      <w:r w:rsidRPr="00B2653E">
        <w:rPr>
          <w:rFonts w:asciiTheme="minorHAnsi" w:hAnsiTheme="minorHAnsi"/>
          <w:b/>
          <w:szCs w:val="24"/>
        </w:rPr>
        <w:t>General Comments</w:t>
      </w:r>
      <w:r w:rsidRPr="00B2653E">
        <w:rPr>
          <w:rFonts w:asciiTheme="minorHAnsi" w:hAnsiTheme="minorHAnsi"/>
          <w:b/>
          <w:szCs w:val="24"/>
        </w:rPr>
        <w:br/>
      </w:r>
      <w:r w:rsidRPr="00B2653E">
        <w:rPr>
          <w:rFonts w:asciiTheme="minorHAnsi" w:hAnsiTheme="minorHAnsi"/>
          <w:szCs w:val="24"/>
        </w:rPr>
        <w:br/>
        <w:t xml:space="preserve">A dedicated State Street Global </w:t>
      </w:r>
      <w:r w:rsidRPr="00B2653E">
        <w:rPr>
          <w:rFonts w:asciiTheme="minorHAnsi" w:hAnsiTheme="minorHAnsi"/>
          <w:color w:val="000000" w:themeColor="text1"/>
          <w:szCs w:val="24"/>
        </w:rPr>
        <w:t xml:space="preserve">Advisors Transaction Costs Analysis (TCA) group monitored execution prices in relation to their benchmarks for futures, equities, currency, and fixed-income trading, and performed analysis of trading results.  This analysis was shared with trading, portfolio management senior management, compliance and other relevant SSGA personnel as part of SSGA’s best execution review and oversight process. </w:t>
      </w:r>
      <w:r w:rsidRPr="00B2653E">
        <w:rPr>
          <w:rFonts w:asciiTheme="minorHAnsi" w:hAnsiTheme="minorHAnsi"/>
          <w:color w:val="000000" w:themeColor="text1"/>
          <w:szCs w:val="24"/>
        </w:rPr>
        <w:br/>
      </w:r>
      <w:r w:rsidRPr="00B2653E">
        <w:rPr>
          <w:rFonts w:asciiTheme="minorHAnsi" w:hAnsiTheme="minorHAnsi"/>
          <w:color w:val="000000" w:themeColor="text1"/>
          <w:szCs w:val="24"/>
        </w:rPr>
        <w:br/>
      </w:r>
      <w:r w:rsidRPr="00B2653E">
        <w:rPr>
          <w:rFonts w:asciiTheme="minorHAnsi" w:hAnsiTheme="minorHAnsi"/>
          <w:szCs w:val="24"/>
        </w:rPr>
        <w:t>Frequent assessment of transactions can provide insights on trading cost trends.</w:t>
      </w:r>
      <w:r w:rsidRPr="00B2653E">
        <w:rPr>
          <w:rFonts w:asciiTheme="minorHAnsi" w:hAnsiTheme="minorHAnsi"/>
          <w:szCs w:val="24"/>
        </w:rPr>
        <w:br/>
      </w:r>
      <w:r w:rsidRPr="00B2653E">
        <w:rPr>
          <w:rFonts w:asciiTheme="minorHAnsi" w:hAnsiTheme="minorHAnsi"/>
          <w:szCs w:val="24"/>
        </w:rPr>
        <w:br/>
        <w:t>TCA can be used to forecast expected costs, confirm the efficacy of Trading Counterparties, venues, algorithms, and current processes and to highlight opportunities to improve trading outcomes in the future.</w:t>
      </w:r>
      <w:r w:rsidRPr="00B2653E">
        <w:rPr>
          <w:rFonts w:asciiTheme="minorHAnsi" w:hAnsiTheme="minorHAnsi"/>
          <w:szCs w:val="24"/>
        </w:rPr>
        <w:br/>
      </w:r>
      <w:r w:rsidRPr="00B2653E">
        <w:rPr>
          <w:rFonts w:asciiTheme="minorHAnsi" w:hAnsiTheme="minorHAnsi"/>
          <w:szCs w:val="24"/>
        </w:rPr>
        <w:br/>
        <w:t>SSGA’s traders have many tools at their disposal to assess market liquidity (e.g. Bloomberg, broker communications, indications of interest (IOIs)). SSGA trading personnel hold quarterly meetings with SSGA's investment teams globally to discuss volume, TCA and volatility.  Additionally, traders in each region also produce daily market commentary which is widely distributed within State Street Global Advisors.</w:t>
      </w:r>
    </w:p>
    <w:p w:rsidR="00B2653E" w:rsidRPr="00B2653E" w:rsidRDefault="00B2653E" w:rsidP="00B2653E">
      <w:pPr>
        <w:pStyle w:val="ListParagraph"/>
        <w:rPr>
          <w:rFonts w:asciiTheme="minorHAnsi" w:hAnsiTheme="minorHAnsi"/>
          <w:b/>
          <w:szCs w:val="24"/>
        </w:rPr>
      </w:pPr>
    </w:p>
    <w:p w:rsidR="00B2653E" w:rsidRPr="00B2653E" w:rsidRDefault="00B2653E" w:rsidP="00B2653E">
      <w:pPr>
        <w:pStyle w:val="ListParagraph"/>
        <w:rPr>
          <w:rFonts w:asciiTheme="minorHAnsi" w:hAnsiTheme="minorHAnsi"/>
          <w:szCs w:val="24"/>
        </w:rPr>
      </w:pPr>
    </w:p>
    <w:p w:rsidR="00B2653E" w:rsidRPr="00B2653E" w:rsidRDefault="00B2653E" w:rsidP="00B2653E">
      <w:pPr>
        <w:pStyle w:val="ListParagraph"/>
        <w:numPr>
          <w:ilvl w:val="0"/>
          <w:numId w:val="28"/>
        </w:numPr>
        <w:spacing w:after="200" w:line="276" w:lineRule="auto"/>
        <w:contextualSpacing/>
        <w:rPr>
          <w:rFonts w:asciiTheme="minorHAnsi" w:hAnsiTheme="minorHAnsi"/>
          <w:b/>
          <w:szCs w:val="24"/>
        </w:rPr>
      </w:pPr>
      <w:r w:rsidRPr="00B2653E">
        <w:rPr>
          <w:rFonts w:asciiTheme="minorHAnsi" w:hAnsiTheme="minorHAnsi"/>
          <w:b/>
          <w:szCs w:val="24"/>
        </w:rPr>
        <w:t>Where applicable, an explanation of how the investment firm has used output of a consolidated tape provider established under Article 65 of Directive 2014/65/EU.</w:t>
      </w:r>
    </w:p>
    <w:p w:rsidR="00B2653E" w:rsidRPr="00B2653E" w:rsidRDefault="00B2653E" w:rsidP="00B2653E">
      <w:pPr>
        <w:pStyle w:val="ListParagraph"/>
        <w:rPr>
          <w:rFonts w:asciiTheme="minorHAnsi" w:hAnsiTheme="minorHAnsi"/>
          <w:szCs w:val="24"/>
        </w:rPr>
      </w:pPr>
    </w:p>
    <w:p w:rsidR="00B2653E" w:rsidRPr="00B2653E" w:rsidRDefault="00B2653E" w:rsidP="00B2653E">
      <w:pPr>
        <w:pStyle w:val="ListParagraph"/>
        <w:rPr>
          <w:rFonts w:asciiTheme="minorHAnsi" w:hAnsiTheme="minorHAnsi"/>
          <w:szCs w:val="24"/>
        </w:rPr>
      </w:pPr>
      <w:r w:rsidRPr="00B2653E">
        <w:rPr>
          <w:rFonts w:asciiTheme="minorHAnsi" w:hAnsiTheme="minorHAnsi"/>
          <w:szCs w:val="24"/>
        </w:rPr>
        <w:t>SSGA did not use output of a consolidated Tape Provider during the relevant period.</w:t>
      </w:r>
    </w:p>
    <w:p w:rsidR="00B2653E" w:rsidRDefault="00B2653E" w:rsidP="00B2653E">
      <w:pPr>
        <w:rPr>
          <w:rFonts w:ascii="Calibri" w:hAnsi="Calibri"/>
          <w:sz w:val="24"/>
        </w:rPr>
      </w:pPr>
      <w:r>
        <w:rPr>
          <w:rFonts w:ascii="Calibri" w:hAnsi="Calibri"/>
          <w:sz w:val="24"/>
        </w:rPr>
        <w:br w:type="page"/>
      </w:r>
    </w:p>
    <w:p w:rsidR="00B2653E" w:rsidRPr="001E2A2F" w:rsidRDefault="00B2653E" w:rsidP="00B2653E">
      <w:pPr>
        <w:pStyle w:val="ListParagraph"/>
        <w:rPr>
          <w:rFonts w:ascii="Calibri" w:hAnsi="Calibri"/>
          <w:szCs w:val="24"/>
        </w:rPr>
      </w:pPr>
    </w:p>
    <w:p w:rsidR="00B2653E" w:rsidRDefault="00B2653E" w:rsidP="00B2653E">
      <w:pPr>
        <w:pStyle w:val="Heading3"/>
      </w:pPr>
      <w:r w:rsidRPr="00B2653E">
        <w:t>Schedule 1</w:t>
      </w:r>
    </w:p>
    <w:p w:rsidR="001648F0" w:rsidRPr="001648F0" w:rsidRDefault="001648F0" w:rsidP="001648F0">
      <w:pPr>
        <w:pStyle w:val="BodyText"/>
      </w:pPr>
    </w:p>
    <w:tbl>
      <w:tblPr>
        <w:tblW w:w="5000" w:type="pct"/>
        <w:tblLook w:val="04A0" w:firstRow="1" w:lastRow="0" w:firstColumn="1" w:lastColumn="0" w:noHBand="0" w:noVBand="1"/>
      </w:tblPr>
      <w:tblGrid>
        <w:gridCol w:w="3974"/>
        <w:gridCol w:w="272"/>
        <w:gridCol w:w="9612"/>
      </w:tblGrid>
      <w:tr w:rsidR="00B2653E" w:rsidRPr="00B2653E" w:rsidTr="00E66007">
        <w:trPr>
          <w:trHeight w:val="620"/>
          <w:tblHeader/>
        </w:trPr>
        <w:tc>
          <w:tcPr>
            <w:tcW w:w="1434" w:type="pct"/>
            <w:tcBorders>
              <w:top w:val="single" w:sz="4" w:space="0" w:color="auto"/>
              <w:left w:val="single" w:sz="4" w:space="0" w:color="auto"/>
              <w:bottom w:val="single" w:sz="4" w:space="0" w:color="auto"/>
              <w:right w:val="single" w:sz="4" w:space="0" w:color="auto"/>
            </w:tcBorders>
            <w:shd w:val="clear" w:color="000000" w:fill="1F497D"/>
            <w:vAlign w:val="bottom"/>
            <w:hideMark/>
          </w:tcPr>
          <w:p w:rsidR="00B2653E" w:rsidRPr="00B2653E" w:rsidRDefault="00B2653E" w:rsidP="00353779">
            <w:pPr>
              <w:spacing w:after="0" w:line="240" w:lineRule="auto"/>
              <w:jc w:val="center"/>
              <w:rPr>
                <w:b/>
                <w:bCs/>
                <w:color w:val="FFFFFF" w:themeColor="text2"/>
                <w:sz w:val="24"/>
              </w:rPr>
            </w:pPr>
            <w:r w:rsidRPr="00B2653E">
              <w:rPr>
                <w:b/>
                <w:bCs/>
                <w:color w:val="FFFFFF" w:themeColor="text2"/>
                <w:sz w:val="24"/>
              </w:rPr>
              <w:t>Asset Class</w:t>
            </w:r>
          </w:p>
        </w:tc>
        <w:tc>
          <w:tcPr>
            <w:tcW w:w="98" w:type="pct"/>
            <w:tcBorders>
              <w:top w:val="single" w:sz="4" w:space="0" w:color="auto"/>
              <w:left w:val="nil"/>
              <w:bottom w:val="single" w:sz="4" w:space="0" w:color="auto"/>
              <w:right w:val="single" w:sz="4" w:space="0" w:color="auto"/>
            </w:tcBorders>
            <w:shd w:val="clear" w:color="000000" w:fill="1F497D"/>
            <w:vAlign w:val="bottom"/>
            <w:hideMark/>
          </w:tcPr>
          <w:p w:rsidR="00B2653E" w:rsidRPr="00B2653E" w:rsidRDefault="00B2653E" w:rsidP="00353779">
            <w:pPr>
              <w:spacing w:after="0" w:line="240" w:lineRule="auto"/>
              <w:jc w:val="center"/>
              <w:rPr>
                <w:b/>
                <w:bCs/>
                <w:color w:val="FFFFFF" w:themeColor="text2"/>
                <w:sz w:val="24"/>
              </w:rPr>
            </w:pPr>
            <w:r w:rsidRPr="00B2653E">
              <w:rPr>
                <w:b/>
                <w:bCs/>
                <w:color w:val="FFFFFF" w:themeColor="text2"/>
                <w:sz w:val="24"/>
              </w:rPr>
              <w:t> </w:t>
            </w:r>
          </w:p>
        </w:tc>
        <w:tc>
          <w:tcPr>
            <w:tcW w:w="3468" w:type="pct"/>
            <w:tcBorders>
              <w:top w:val="single" w:sz="4" w:space="0" w:color="auto"/>
              <w:left w:val="nil"/>
              <w:bottom w:val="single" w:sz="4" w:space="0" w:color="auto"/>
              <w:right w:val="single" w:sz="4" w:space="0" w:color="auto"/>
            </w:tcBorders>
            <w:shd w:val="clear" w:color="000000" w:fill="1F497D"/>
            <w:vAlign w:val="bottom"/>
            <w:hideMark/>
          </w:tcPr>
          <w:p w:rsidR="00B2653E" w:rsidRPr="00B2653E" w:rsidRDefault="00B2653E" w:rsidP="00353779">
            <w:pPr>
              <w:spacing w:after="0" w:line="240" w:lineRule="auto"/>
              <w:jc w:val="center"/>
              <w:rPr>
                <w:b/>
                <w:bCs/>
                <w:color w:val="FFFFFF" w:themeColor="text2"/>
                <w:sz w:val="24"/>
              </w:rPr>
            </w:pPr>
            <w:r w:rsidRPr="00B2653E">
              <w:rPr>
                <w:b/>
                <w:bCs/>
                <w:color w:val="FFFFFF" w:themeColor="text2"/>
                <w:sz w:val="24"/>
              </w:rPr>
              <w:t>Explanation of the Relative Importance</w:t>
            </w:r>
          </w:p>
        </w:tc>
      </w:tr>
      <w:tr w:rsidR="00B2653E" w:rsidRPr="00B2653E" w:rsidTr="00E66007">
        <w:trPr>
          <w:trHeight w:val="4322"/>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 xml:space="preserve">Equities – Shares &amp; Depositary Receipts – Tick size liquidity bands 5&amp;6 (from 2000 trades per day) </w:t>
            </w:r>
            <w:r w:rsidRPr="00B2653E">
              <w:rPr>
                <w:sz w:val="24"/>
              </w:rPr>
              <w:br/>
            </w:r>
            <w:r w:rsidRPr="00B2653E">
              <w:rPr>
                <w:sz w:val="24"/>
              </w:rPr>
              <w:br/>
              <w:t>Annex 1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Default="00B2653E" w:rsidP="001648F0">
            <w:pPr>
              <w:spacing w:after="0" w:line="240" w:lineRule="auto"/>
              <w:rPr>
                <w:bCs/>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The price was determined by the Trading Counterparty if the equity was being traded with the Trading Counterparty or otherwise by the relevant Execution Venue.</w:t>
            </w:r>
            <w:r w:rsidRPr="00B2653E" w:rsidDel="00D17296">
              <w:rPr>
                <w:sz w:val="24"/>
              </w:rPr>
              <w:t xml:space="preserve"> </w:t>
            </w:r>
            <w:r w:rsidRPr="00B2653E">
              <w:rPr>
                <w:sz w:val="24"/>
              </w:rPr>
              <w:br/>
            </w:r>
            <w:r w:rsidRPr="00B2653E">
              <w:rPr>
                <w:sz w:val="24"/>
              </w:rPr>
              <w:br/>
            </w:r>
            <w:r w:rsidRPr="00B2653E">
              <w:rPr>
                <w:bCs/>
                <w:sz w:val="24"/>
              </w:rPr>
              <w:t>SSGA used the same negotiated equity commission schedule with each Trading Counterparty per market/region, and applied these to each Account it traded for</w:t>
            </w:r>
            <w:r w:rsidRPr="00B2653E">
              <w:rPr>
                <w:rStyle w:val="FootnoteReference"/>
                <w:bCs/>
                <w:sz w:val="24"/>
              </w:rPr>
              <w:footnoteReference w:id="2"/>
            </w:r>
            <w:r w:rsidRPr="00B2653E">
              <w:rPr>
                <w:bCs/>
                <w:sz w:val="24"/>
              </w:rPr>
              <w:t xml:space="preserve">. These negotiated equity commission rates took into account considerations such as liquidity, market conditions or trading expertise needed to achieve execution.   </w:t>
            </w:r>
            <w:r w:rsidRPr="00B2653E">
              <w:rPr>
                <w:bCs/>
                <w:sz w:val="24"/>
              </w:rPr>
              <w:br/>
            </w:r>
            <w:r w:rsidRPr="00B2653E">
              <w:rPr>
                <w:bCs/>
                <w:sz w:val="24"/>
              </w:rPr>
              <w:br/>
              <w:t xml:space="preserve">SSGA matched certain orders relating to Accounts traded by it using SSGA's internal cross. The internal cross enables equities to be transferred between Accounts without any requirement to pay brokerage commission or any exchange/venue fees.  The Accounts that participated in the Internal Cross were all index tracking funds and the internal cross trades were crossed using market close pricing. </w:t>
            </w:r>
          </w:p>
          <w:p w:rsidR="00B42028" w:rsidRDefault="00B42028" w:rsidP="001648F0">
            <w:pPr>
              <w:spacing w:after="0" w:line="240" w:lineRule="auto"/>
              <w:rPr>
                <w:bCs/>
                <w:sz w:val="24"/>
              </w:rPr>
            </w:pPr>
          </w:p>
          <w:p w:rsidR="005C1C31" w:rsidRPr="00B2653E" w:rsidRDefault="005C1C31" w:rsidP="001648F0">
            <w:pPr>
              <w:spacing w:after="0" w:line="240" w:lineRule="auto"/>
              <w:rPr>
                <w:sz w:val="24"/>
              </w:rPr>
            </w:pPr>
          </w:p>
        </w:tc>
      </w:tr>
      <w:tr w:rsidR="00B2653E" w:rsidRPr="00B2653E" w:rsidTr="00E66007">
        <w:trPr>
          <w:trHeight w:val="4322"/>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Equities – Shares &amp; Depositary Receipts – Tick size liquidity bands 3 and 4 (from 80 to 1999 trades per day)</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2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bCs/>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 xml:space="preserve"> The price was determined by the Trading Counterparty if the equity was being traded with the Trading Counterparty or otherwise by the relevant Execution Venue.</w:t>
            </w:r>
            <w:r w:rsidRPr="00B2653E">
              <w:rPr>
                <w:sz w:val="24"/>
              </w:rPr>
              <w:br/>
            </w:r>
            <w:r w:rsidRPr="00B2653E">
              <w:rPr>
                <w:sz w:val="24"/>
              </w:rPr>
              <w:br/>
            </w:r>
            <w:r w:rsidRPr="00B2653E">
              <w:rPr>
                <w:bCs/>
                <w:sz w:val="24"/>
              </w:rPr>
              <w:t>SSGA used the same negotiated equity commission schedule with each Trading Counterparty per market/region, and applied these to each Account it traded for.</w:t>
            </w:r>
            <w:r w:rsidRPr="00B2653E">
              <w:rPr>
                <w:rStyle w:val="FootnoteReference"/>
                <w:bCs/>
                <w:sz w:val="24"/>
              </w:rPr>
              <w:footnoteReference w:id="3"/>
            </w:r>
            <w:r w:rsidRPr="00B2653E">
              <w:rPr>
                <w:bCs/>
                <w:sz w:val="24"/>
              </w:rPr>
              <w:t xml:space="preserve"> These negotiated equity commission rates took into account considerations such as liquidity, market conditions or trading expertise needed to achieve execution.   </w:t>
            </w:r>
            <w:r w:rsidRPr="00B2653E">
              <w:rPr>
                <w:bCs/>
                <w:sz w:val="24"/>
              </w:rPr>
              <w:br/>
            </w:r>
            <w:r w:rsidRPr="00B2653E">
              <w:rPr>
                <w:bCs/>
                <w:sz w:val="24"/>
              </w:rPr>
              <w:br/>
              <w:t xml:space="preserve">SSGA matched certain orders relating to Accounts traded by it using SSGA's internal cross. The internal cross enables equities to be transferred between Accounts without any requirement to pay brokerage commission or any exchange/venue fees.  The Accounts that participated in the Internal Cross were all index tracking funds and the internal cross trades were crossed using market close pricing. </w:t>
            </w:r>
          </w:p>
          <w:p w:rsidR="00B2653E" w:rsidRPr="00B2653E" w:rsidRDefault="00B2653E" w:rsidP="00353779">
            <w:pPr>
              <w:spacing w:after="0" w:line="240" w:lineRule="auto"/>
              <w:rPr>
                <w:sz w:val="24"/>
              </w:rPr>
            </w:pPr>
            <w:r w:rsidRPr="00B2653E">
              <w:rPr>
                <w:sz w:val="24"/>
              </w:rPr>
              <w:t xml:space="preserve">  </w:t>
            </w:r>
          </w:p>
        </w:tc>
      </w:tr>
      <w:tr w:rsidR="00B2653E" w:rsidRPr="00B2653E" w:rsidTr="00E66007">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 xml:space="preserve">Equities – Shares &amp; Depositary Receipts – Tick size liquidity band 1 and 2 (from 0 to 79 trades per day) </w:t>
            </w:r>
          </w:p>
          <w:p w:rsidR="00B2653E" w:rsidRPr="00B2653E" w:rsidRDefault="00B2653E" w:rsidP="00353779">
            <w:pPr>
              <w:spacing w:after="0" w:line="240" w:lineRule="auto"/>
              <w:rPr>
                <w:sz w:val="24"/>
              </w:rPr>
            </w:pPr>
          </w:p>
          <w:p w:rsidR="00B2653E" w:rsidRDefault="00B2653E" w:rsidP="00353779">
            <w:pPr>
              <w:spacing w:after="0" w:line="240" w:lineRule="auto"/>
              <w:rPr>
                <w:sz w:val="24"/>
              </w:rPr>
            </w:pPr>
            <w:r w:rsidRPr="00B2653E">
              <w:rPr>
                <w:sz w:val="24"/>
              </w:rPr>
              <w:t>Annex 3 of the SSGA best execution policy</w:t>
            </w:r>
          </w:p>
          <w:p w:rsidR="00B649E2" w:rsidRDefault="00B649E2" w:rsidP="00353779">
            <w:pPr>
              <w:spacing w:after="0" w:line="240" w:lineRule="auto"/>
              <w:rPr>
                <w:sz w:val="24"/>
              </w:rPr>
            </w:pPr>
          </w:p>
          <w:p w:rsidR="00B649E2" w:rsidRPr="00B2653E" w:rsidRDefault="00B649E2" w:rsidP="00353779">
            <w:pPr>
              <w:spacing w:after="0" w:line="240" w:lineRule="auto"/>
              <w:rPr>
                <w:sz w:val="24"/>
              </w:rPr>
            </w:pP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tcPr>
          <w:p w:rsidR="00B2653E" w:rsidRDefault="00B2653E" w:rsidP="00353779">
            <w:pPr>
              <w:spacing w:after="0" w:line="240" w:lineRule="auto"/>
              <w:rPr>
                <w:bCs/>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The price was determined by the Trading Counterparty if the equity was being traded with the Trading Counterparty or otherwise by the relevant Execution Venue.</w:t>
            </w:r>
            <w:r w:rsidRPr="00B2653E">
              <w:rPr>
                <w:sz w:val="24"/>
              </w:rPr>
              <w:br/>
            </w:r>
            <w:r w:rsidRPr="00B2653E">
              <w:rPr>
                <w:sz w:val="24"/>
              </w:rPr>
              <w:br/>
            </w:r>
            <w:r w:rsidRPr="00B2653E">
              <w:rPr>
                <w:bCs/>
                <w:sz w:val="24"/>
              </w:rPr>
              <w:t>SSGA used the same negotiated equity commission schedule with each Trading Counterparty per market/region, and applied these to each Account it traded for</w:t>
            </w:r>
            <w:r w:rsidRPr="00B2653E">
              <w:rPr>
                <w:rStyle w:val="FootnoteReference"/>
                <w:bCs/>
                <w:sz w:val="24"/>
              </w:rPr>
              <w:footnoteReference w:id="4"/>
            </w:r>
            <w:r w:rsidRPr="00B2653E">
              <w:rPr>
                <w:bCs/>
                <w:sz w:val="24"/>
              </w:rPr>
              <w:t xml:space="preserve">. These negotiated equity commission rates took into account considerations such as liquidity, market conditions or trading expertise needed to achieve execution.   </w:t>
            </w:r>
            <w:r w:rsidRPr="00B2653E">
              <w:rPr>
                <w:bCs/>
                <w:sz w:val="24"/>
              </w:rPr>
              <w:br/>
            </w:r>
            <w:r w:rsidRPr="00B2653E">
              <w:rPr>
                <w:bCs/>
                <w:sz w:val="24"/>
              </w:rPr>
              <w:br/>
              <w:t xml:space="preserve">SSGA matched certain orders relating to Accounts traded by it using SSGA's internal cross. The internal cross enables equities to be transferred between Accounts without any requirement to pay brokerage commission or any exchange/venue fees.  The Accounts that participated in the Internal Cross were all index tracking funds and the internal cross trades were crossed using market close pricing. </w:t>
            </w:r>
          </w:p>
          <w:p w:rsidR="00B649E2" w:rsidRPr="00420D83" w:rsidRDefault="00B649E2" w:rsidP="00353779">
            <w:pPr>
              <w:spacing w:after="0" w:line="240" w:lineRule="auto"/>
              <w:rPr>
                <w:bCs/>
                <w:sz w:val="24"/>
              </w:rPr>
            </w:pPr>
          </w:p>
        </w:tc>
      </w:tr>
      <w:tr w:rsidR="00D540B6" w:rsidRPr="00B2653E" w:rsidTr="00E66007">
        <w:trPr>
          <w:trHeight w:val="8190"/>
        </w:trPr>
        <w:tc>
          <w:tcPr>
            <w:tcW w:w="1434" w:type="pct"/>
            <w:tcBorders>
              <w:top w:val="nil"/>
              <w:left w:val="single" w:sz="4" w:space="0" w:color="auto"/>
              <w:bottom w:val="single" w:sz="4" w:space="0" w:color="auto"/>
              <w:right w:val="single" w:sz="4" w:space="0" w:color="auto"/>
            </w:tcBorders>
            <w:shd w:val="clear" w:color="000000" w:fill="FFFFFF"/>
          </w:tcPr>
          <w:p w:rsidR="00D540B6" w:rsidRPr="002A68F4" w:rsidRDefault="00D540B6" w:rsidP="00D540B6">
            <w:pPr>
              <w:spacing w:after="0" w:line="240" w:lineRule="auto"/>
              <w:rPr>
                <w:sz w:val="24"/>
              </w:rPr>
            </w:pPr>
            <w:r w:rsidRPr="002344F2">
              <w:rPr>
                <w:sz w:val="24"/>
                <w:lang w:val="en-GB"/>
              </w:rPr>
              <w:t>Equities – Shares &amp; Depositary Receipt</w:t>
            </w:r>
            <w:r w:rsidR="008A0E29">
              <w:rPr>
                <w:sz w:val="24"/>
                <w:lang w:val="en-GB"/>
              </w:rPr>
              <w:t xml:space="preserve"> </w:t>
            </w:r>
            <w:r w:rsidRPr="002344F2">
              <w:rPr>
                <w:sz w:val="24"/>
                <w:lang w:val="en-GB"/>
              </w:rPr>
              <w:t>(Illiquid)</w:t>
            </w:r>
          </w:p>
          <w:p w:rsidR="00D540B6" w:rsidRPr="002A68F4" w:rsidRDefault="00D540B6" w:rsidP="00D540B6">
            <w:pPr>
              <w:spacing w:after="0" w:line="240" w:lineRule="auto"/>
              <w:rPr>
                <w:sz w:val="24"/>
              </w:rPr>
            </w:pPr>
          </w:p>
          <w:p w:rsidR="00D540B6" w:rsidRPr="00B2653E" w:rsidRDefault="00D540B6" w:rsidP="00D540B6">
            <w:pPr>
              <w:spacing w:after="0" w:line="240" w:lineRule="auto"/>
              <w:rPr>
                <w:sz w:val="24"/>
              </w:rPr>
            </w:pPr>
            <w:r w:rsidRPr="002344F2">
              <w:rPr>
                <w:sz w:val="24"/>
              </w:rPr>
              <w:t xml:space="preserve">Annex </w:t>
            </w:r>
            <w:r>
              <w:rPr>
                <w:sz w:val="24"/>
              </w:rPr>
              <w:t>3</w:t>
            </w:r>
            <w:r w:rsidRPr="002A68F4">
              <w:rPr>
                <w:sz w:val="24"/>
              </w:rPr>
              <w:t xml:space="preserve"> of the SSGA best execution policy</w:t>
            </w:r>
            <w:r>
              <w:rPr>
                <w:sz w:val="24"/>
              </w:rPr>
              <w:t xml:space="preserve"> (same criteria apply)</w:t>
            </w:r>
          </w:p>
        </w:tc>
        <w:tc>
          <w:tcPr>
            <w:tcW w:w="98" w:type="pct"/>
            <w:tcBorders>
              <w:top w:val="nil"/>
              <w:left w:val="nil"/>
              <w:bottom w:val="single" w:sz="4" w:space="0" w:color="auto"/>
              <w:right w:val="single" w:sz="4" w:space="0" w:color="auto"/>
            </w:tcBorders>
            <w:shd w:val="clear" w:color="000000" w:fill="FFFFFF"/>
            <w:noWrap/>
          </w:tcPr>
          <w:p w:rsidR="00D540B6" w:rsidRPr="00B2653E" w:rsidRDefault="00D540B6" w:rsidP="00D540B6">
            <w:pPr>
              <w:spacing w:after="0" w:line="240" w:lineRule="auto"/>
              <w:rPr>
                <w:sz w:val="24"/>
              </w:rPr>
            </w:pPr>
          </w:p>
        </w:tc>
        <w:tc>
          <w:tcPr>
            <w:tcW w:w="3468" w:type="pct"/>
            <w:tcBorders>
              <w:top w:val="nil"/>
              <w:left w:val="nil"/>
              <w:bottom w:val="single" w:sz="4" w:space="0" w:color="auto"/>
              <w:right w:val="single" w:sz="4" w:space="0" w:color="auto"/>
            </w:tcBorders>
            <w:shd w:val="clear" w:color="000000" w:fill="FFFFFF"/>
          </w:tcPr>
          <w:p w:rsidR="00D540B6" w:rsidRDefault="00D540B6" w:rsidP="00D540B6">
            <w:pPr>
              <w:spacing w:after="0" w:line="240" w:lineRule="auto"/>
              <w:rPr>
                <w:bCs/>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The price was determined by the Trading Counterparty if the equity was being traded with the Trading Counterparty or otherwise by the relevant Execution Venue.</w:t>
            </w:r>
            <w:r w:rsidRPr="00B2653E" w:rsidDel="00D17296">
              <w:rPr>
                <w:sz w:val="24"/>
              </w:rPr>
              <w:t xml:space="preserve"> </w:t>
            </w:r>
            <w:r w:rsidRPr="00B2653E">
              <w:rPr>
                <w:sz w:val="24"/>
              </w:rPr>
              <w:br/>
            </w:r>
            <w:r w:rsidRPr="00B2653E">
              <w:rPr>
                <w:sz w:val="24"/>
              </w:rPr>
              <w:br/>
            </w:r>
            <w:r w:rsidRPr="00B2653E">
              <w:rPr>
                <w:bCs/>
                <w:sz w:val="24"/>
              </w:rPr>
              <w:t>SSGA used the same negotiated equity commission schedule with each Trading Counterparty per market/region, and applied these to each Account it traded for</w:t>
            </w:r>
            <w:r w:rsidRPr="00B2653E">
              <w:rPr>
                <w:rStyle w:val="FootnoteReference"/>
                <w:bCs/>
                <w:sz w:val="24"/>
              </w:rPr>
              <w:footnoteReference w:id="5"/>
            </w:r>
            <w:r w:rsidRPr="00B2653E">
              <w:rPr>
                <w:bCs/>
                <w:sz w:val="24"/>
              </w:rPr>
              <w:t xml:space="preserve">. These negotiated equity commission rates took into account considerations such as liquidity, market conditions or trading expertise needed to achieve execution.   </w:t>
            </w:r>
            <w:r w:rsidRPr="00B2653E">
              <w:rPr>
                <w:bCs/>
                <w:sz w:val="24"/>
              </w:rPr>
              <w:br/>
            </w:r>
            <w:r w:rsidRPr="00B2653E">
              <w:rPr>
                <w:bCs/>
                <w:sz w:val="24"/>
              </w:rPr>
              <w:br/>
              <w:t xml:space="preserve">SSGA matched certain orders relating to Accounts traded by it using SSGA's internal cross. The internal cross enables equities to be transferred between Accounts without any requirement to pay brokerage commission or any exchange/venue fees.  The Accounts that participated in the Internal Cross were all index tracking funds and the internal cross trades were crossed using market close pricing. </w:t>
            </w:r>
          </w:p>
          <w:p w:rsidR="00D540B6" w:rsidRPr="00B2653E" w:rsidRDefault="00D540B6" w:rsidP="00D540B6">
            <w:pPr>
              <w:spacing w:after="0" w:line="240" w:lineRule="auto"/>
              <w:rPr>
                <w:sz w:val="24"/>
              </w:rPr>
            </w:pPr>
          </w:p>
        </w:tc>
      </w:tr>
      <w:tr w:rsidR="00D07376" w:rsidRPr="00B2653E" w:rsidTr="00E66007">
        <w:trPr>
          <w:trHeight w:val="8190"/>
        </w:trPr>
        <w:tc>
          <w:tcPr>
            <w:tcW w:w="1434" w:type="pct"/>
            <w:tcBorders>
              <w:top w:val="nil"/>
              <w:left w:val="single" w:sz="4" w:space="0" w:color="auto"/>
              <w:bottom w:val="single" w:sz="4" w:space="0" w:color="auto"/>
              <w:right w:val="single" w:sz="4" w:space="0" w:color="auto"/>
            </w:tcBorders>
            <w:shd w:val="clear" w:color="000000" w:fill="FFFFFF"/>
          </w:tcPr>
          <w:p w:rsidR="00D07376" w:rsidRPr="00B2653E" w:rsidRDefault="00D07376" w:rsidP="00D07376">
            <w:pPr>
              <w:spacing w:after="0" w:line="240" w:lineRule="auto"/>
              <w:rPr>
                <w:sz w:val="24"/>
              </w:rPr>
            </w:pPr>
            <w:r w:rsidRPr="00B2653E">
              <w:rPr>
                <w:sz w:val="24"/>
              </w:rPr>
              <w:t>Debt instruments (bonds)</w:t>
            </w:r>
          </w:p>
          <w:p w:rsidR="00D07376" w:rsidRPr="00B2653E" w:rsidRDefault="00D07376" w:rsidP="00D07376">
            <w:pPr>
              <w:spacing w:after="0" w:line="240" w:lineRule="auto"/>
              <w:rPr>
                <w:sz w:val="24"/>
              </w:rPr>
            </w:pPr>
          </w:p>
          <w:p w:rsidR="00D07376" w:rsidRPr="00B2653E" w:rsidRDefault="00D07376" w:rsidP="00D07376">
            <w:pPr>
              <w:spacing w:after="0" w:line="240" w:lineRule="auto"/>
              <w:rPr>
                <w:sz w:val="24"/>
              </w:rPr>
            </w:pPr>
            <w:r w:rsidRPr="00B2653E">
              <w:rPr>
                <w:sz w:val="24"/>
              </w:rPr>
              <w:t>Annex 4 of the SSGA best execution policy</w:t>
            </w:r>
          </w:p>
        </w:tc>
        <w:tc>
          <w:tcPr>
            <w:tcW w:w="98" w:type="pct"/>
            <w:tcBorders>
              <w:top w:val="nil"/>
              <w:left w:val="nil"/>
              <w:bottom w:val="single" w:sz="4" w:space="0" w:color="auto"/>
              <w:right w:val="single" w:sz="4" w:space="0" w:color="auto"/>
            </w:tcBorders>
            <w:shd w:val="clear" w:color="000000" w:fill="FFFFFF"/>
            <w:noWrap/>
          </w:tcPr>
          <w:p w:rsidR="00D07376" w:rsidRPr="00B2653E" w:rsidRDefault="00D07376" w:rsidP="00D07376">
            <w:pPr>
              <w:spacing w:after="0" w:line="240" w:lineRule="auto"/>
              <w:rPr>
                <w:sz w:val="24"/>
              </w:rPr>
            </w:pPr>
          </w:p>
        </w:tc>
        <w:tc>
          <w:tcPr>
            <w:tcW w:w="3468" w:type="pct"/>
            <w:tcBorders>
              <w:top w:val="nil"/>
              <w:left w:val="nil"/>
              <w:bottom w:val="single" w:sz="4" w:space="0" w:color="auto"/>
              <w:right w:val="single" w:sz="4" w:space="0" w:color="auto"/>
            </w:tcBorders>
            <w:shd w:val="clear" w:color="000000" w:fill="FFFFFF"/>
          </w:tcPr>
          <w:p w:rsidR="00D07376" w:rsidRPr="00B2653E" w:rsidRDefault="00D07376" w:rsidP="00D07376">
            <w:pPr>
              <w:spacing w:after="0" w:line="240" w:lineRule="auto"/>
              <w:rPr>
                <w:sz w:val="24"/>
              </w:rPr>
            </w:pPr>
            <w:r w:rsidRPr="00B2653E">
              <w:rPr>
                <w:sz w:val="24"/>
              </w:rPr>
              <w:t>Details of relevant execution factors are set out in the “relevant criteria” section of the SSGA best execution policy.</w:t>
            </w:r>
          </w:p>
          <w:p w:rsidR="00D07376" w:rsidRPr="00B2653E" w:rsidRDefault="00D07376" w:rsidP="00D07376">
            <w:pPr>
              <w:spacing w:after="0" w:line="240" w:lineRule="auto"/>
              <w:rPr>
                <w:sz w:val="24"/>
              </w:rPr>
            </w:pPr>
            <w:r w:rsidRPr="00B2653E">
              <w:rPr>
                <w:sz w:val="24"/>
              </w:rPr>
              <w:br/>
              <w:t xml:space="preserve">The price offered by the Trading Counterparties typically merited a high relative importance in selecting a Trading Counterparty.                </w:t>
            </w:r>
          </w:p>
          <w:p w:rsidR="00D07376" w:rsidRPr="00B2653E" w:rsidRDefault="00D07376" w:rsidP="00D07376">
            <w:pPr>
              <w:spacing w:after="0" w:line="240" w:lineRule="auto"/>
              <w:rPr>
                <w:sz w:val="24"/>
              </w:rPr>
            </w:pPr>
          </w:p>
          <w:p w:rsidR="00D07376" w:rsidRPr="00B2653E" w:rsidRDefault="00D07376" w:rsidP="00D07376">
            <w:pPr>
              <w:spacing w:after="0" w:line="240" w:lineRule="auto"/>
              <w:rPr>
                <w:sz w:val="24"/>
              </w:rPr>
            </w:pPr>
            <w:r w:rsidRPr="00B2653E">
              <w:rPr>
                <w:sz w:val="24"/>
              </w:rPr>
              <w:t xml:space="preserve">The majority of the trades were executed on an Execution Venue using the Request for Quote (RFQ) protocol.  Under this approach, </w:t>
            </w:r>
            <w:r w:rsidRPr="00B2653E">
              <w:rPr>
                <w:rFonts w:cs="Arial"/>
                <w:color w:val="000000" w:themeColor="text1"/>
                <w:kern w:val="20"/>
                <w:sz w:val="24"/>
              </w:rPr>
              <w:t xml:space="preserve">SSGA sent a ‘request for quote’ to multiple Trading Counterparties requesting a price at which they were prepared to transact.  </w:t>
            </w:r>
          </w:p>
          <w:p w:rsidR="00D07376" w:rsidRPr="00B2653E" w:rsidRDefault="00D07376" w:rsidP="00D07376">
            <w:pPr>
              <w:spacing w:after="0" w:line="240" w:lineRule="auto"/>
              <w:rPr>
                <w:sz w:val="24"/>
              </w:rPr>
            </w:pPr>
            <w:r w:rsidRPr="00B2653E">
              <w:rPr>
                <w:sz w:val="24"/>
              </w:rPr>
              <w:t>Where it was not possible or appropriate to trade on an Execution Venue using RFQ, SSGA traded by ‘voice’, putting counterparties into competition to quote and trading on the best price.</w:t>
            </w:r>
          </w:p>
          <w:p w:rsidR="00D07376" w:rsidRPr="00B2653E" w:rsidRDefault="00D07376" w:rsidP="00D07376">
            <w:pPr>
              <w:spacing w:after="0" w:line="240" w:lineRule="auto"/>
              <w:rPr>
                <w:sz w:val="24"/>
              </w:rPr>
            </w:pPr>
            <w:r w:rsidRPr="00B2653E">
              <w:rPr>
                <w:sz w:val="24"/>
              </w:rPr>
              <w:t>Where a trade was too large or sensitive to trade in competition, SSGA selected the Trading Counterparty to trade with based on liquidity and counterparty inventory.</w:t>
            </w:r>
          </w:p>
          <w:p w:rsidR="00D07376" w:rsidRPr="00B2653E" w:rsidRDefault="00D07376" w:rsidP="00D07376">
            <w:pPr>
              <w:spacing w:after="0" w:line="240" w:lineRule="auto"/>
              <w:rPr>
                <w:sz w:val="24"/>
              </w:rPr>
            </w:pPr>
            <w:r w:rsidRPr="00B2653E">
              <w:rPr>
                <w:sz w:val="24"/>
              </w:rPr>
              <w:t xml:space="preserve">Where the objective was to trade as close as possible to the benchmark index close pricing point, SSGA selected a Trading Counterparty which was able to trade the relevant security at that pricing point.                 </w:t>
            </w:r>
          </w:p>
        </w:tc>
      </w:tr>
      <w:tr w:rsidR="00B2653E" w:rsidRPr="00B2653E" w:rsidTr="00E66007">
        <w:trPr>
          <w:trHeight w:val="8190"/>
        </w:trPr>
        <w:tc>
          <w:tcPr>
            <w:tcW w:w="1434" w:type="pct"/>
            <w:tcBorders>
              <w:top w:val="nil"/>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Currency Derivatives: forwards (deliverable and non-deliverable)</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10 of the SSGA best execution policy</w:t>
            </w:r>
          </w:p>
        </w:tc>
        <w:tc>
          <w:tcPr>
            <w:tcW w:w="98" w:type="pct"/>
            <w:tcBorders>
              <w:top w:val="nil"/>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nil"/>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 xml:space="preserve">The price (i.e. the competitiveness of foreign exchange spread) offered by the Trading Counterparties typically merited a high relative importance in selecting a Trading Counterparty. </w:t>
            </w:r>
          </w:p>
          <w:p w:rsidR="00B2653E" w:rsidRPr="00B2653E" w:rsidRDefault="00B2653E" w:rsidP="00353779">
            <w:pPr>
              <w:spacing w:after="0" w:line="240" w:lineRule="auto"/>
              <w:rPr>
                <w:sz w:val="24"/>
              </w:rPr>
            </w:pPr>
          </w:p>
          <w:p w:rsidR="00B2653E" w:rsidRPr="00B2653E" w:rsidRDefault="00B2653E" w:rsidP="00353779">
            <w:pPr>
              <w:rPr>
                <w:sz w:val="24"/>
              </w:rPr>
            </w:pPr>
            <w:r w:rsidRPr="00B2653E">
              <w:rPr>
                <w:rFonts w:cs="Arial"/>
                <w:color w:val="000000" w:themeColor="text1"/>
                <w:kern w:val="20"/>
                <w:sz w:val="24"/>
              </w:rPr>
              <w:t xml:space="preserve">When selecting a Trading Counterparty, SSGA referred to and selected from Trading Counterparties approved by SSGA’s Counterparty Risk Management division with which SSGA had </w:t>
            </w:r>
            <w:r w:rsidRPr="00B2653E">
              <w:rPr>
                <w:sz w:val="24"/>
              </w:rPr>
              <w:t xml:space="preserve">pre-determined trading documentation in place.  </w:t>
            </w:r>
          </w:p>
          <w:p w:rsidR="00B2653E" w:rsidRPr="00B2653E" w:rsidRDefault="00B2653E" w:rsidP="00353779">
            <w:pPr>
              <w:spacing w:after="0" w:line="240" w:lineRule="auto"/>
              <w:rPr>
                <w:sz w:val="24"/>
              </w:rPr>
            </w:pPr>
            <w:r w:rsidRPr="00B2653E">
              <w:rPr>
                <w:sz w:val="24"/>
              </w:rPr>
              <w:t xml:space="preserve">Where appropriate, SSGA diversified exposure to Trading Counterparties in order to reduce exposure to individual Trading Counterparties. </w:t>
            </w:r>
            <w:r w:rsidRPr="00B2653E">
              <w:rPr>
                <w:sz w:val="24"/>
              </w:rPr>
              <w:br/>
            </w:r>
          </w:p>
        </w:tc>
      </w:tr>
      <w:tr w:rsidR="00E66007" w:rsidRPr="00B2653E" w:rsidTr="00E66007">
        <w:trPr>
          <w:trHeight w:val="8190"/>
        </w:trPr>
        <w:tc>
          <w:tcPr>
            <w:tcW w:w="1434" w:type="pct"/>
            <w:tcBorders>
              <w:top w:val="nil"/>
              <w:left w:val="single" w:sz="4" w:space="0" w:color="auto"/>
              <w:bottom w:val="single" w:sz="4" w:space="0" w:color="auto"/>
              <w:right w:val="single" w:sz="4" w:space="0" w:color="auto"/>
            </w:tcBorders>
            <w:shd w:val="clear" w:color="000000" w:fill="FFFFFF"/>
          </w:tcPr>
          <w:p w:rsidR="00E66007" w:rsidRPr="00B2653E" w:rsidRDefault="00E66007" w:rsidP="00E66007">
            <w:pPr>
              <w:spacing w:after="0" w:line="240" w:lineRule="auto"/>
              <w:rPr>
                <w:sz w:val="24"/>
              </w:rPr>
            </w:pPr>
            <w:r w:rsidRPr="00B2653E">
              <w:rPr>
                <w:sz w:val="24"/>
              </w:rPr>
              <w:t>Equity derivatives - Options and Futures admitted to trading on a trading venue</w:t>
            </w:r>
          </w:p>
          <w:p w:rsidR="00E66007" w:rsidRPr="00B2653E" w:rsidRDefault="00E66007" w:rsidP="00E66007">
            <w:pPr>
              <w:spacing w:after="0" w:line="240" w:lineRule="auto"/>
              <w:rPr>
                <w:sz w:val="24"/>
              </w:rPr>
            </w:pPr>
          </w:p>
          <w:p w:rsidR="00E66007" w:rsidRPr="00B2653E" w:rsidRDefault="00E66007" w:rsidP="00E66007">
            <w:pPr>
              <w:spacing w:after="0" w:line="240" w:lineRule="auto"/>
              <w:rPr>
                <w:sz w:val="24"/>
              </w:rPr>
            </w:pPr>
            <w:r w:rsidRPr="00B2653E">
              <w:rPr>
                <w:sz w:val="24"/>
              </w:rPr>
              <w:t>Annex 11 of the SSGA best execution policy</w:t>
            </w:r>
          </w:p>
        </w:tc>
        <w:tc>
          <w:tcPr>
            <w:tcW w:w="98" w:type="pct"/>
            <w:tcBorders>
              <w:top w:val="nil"/>
              <w:left w:val="nil"/>
              <w:bottom w:val="single" w:sz="4" w:space="0" w:color="auto"/>
              <w:right w:val="single" w:sz="4" w:space="0" w:color="auto"/>
            </w:tcBorders>
            <w:shd w:val="clear" w:color="000000" w:fill="FFFFFF"/>
            <w:noWrap/>
          </w:tcPr>
          <w:p w:rsidR="00E66007" w:rsidRPr="00B2653E" w:rsidRDefault="00E66007" w:rsidP="00E66007">
            <w:pPr>
              <w:spacing w:after="0" w:line="240" w:lineRule="auto"/>
              <w:rPr>
                <w:sz w:val="24"/>
              </w:rPr>
            </w:pPr>
          </w:p>
        </w:tc>
        <w:tc>
          <w:tcPr>
            <w:tcW w:w="3468" w:type="pct"/>
            <w:tcBorders>
              <w:top w:val="nil"/>
              <w:left w:val="nil"/>
              <w:bottom w:val="single" w:sz="4" w:space="0" w:color="auto"/>
              <w:right w:val="single" w:sz="4" w:space="0" w:color="auto"/>
            </w:tcBorders>
            <w:shd w:val="clear" w:color="000000" w:fill="FFFFFF"/>
          </w:tcPr>
          <w:p w:rsidR="00E66007" w:rsidRPr="00B2653E" w:rsidRDefault="00E66007" w:rsidP="00D91588">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In respect of exchange-traded equity futures and options transactions, the price is determined by the relevant exchange.</w:t>
            </w:r>
            <w:r w:rsidRPr="00B2653E">
              <w:rPr>
                <w:sz w:val="24"/>
              </w:rPr>
              <w:br/>
            </w:r>
            <w:r w:rsidRPr="00B2653E">
              <w:rPr>
                <w:sz w:val="24"/>
              </w:rPr>
              <w:br/>
              <w:t xml:space="preserve">SSGA employs a standard commission schedule with respect to all exchange-traded equity futures and options transactions, which sets out rates that have been negotiated by SSGA with Trading Counterparties for specific types of trades. </w:t>
            </w:r>
            <w:r>
              <w:rPr>
                <w:sz w:val="24"/>
              </w:rPr>
              <w:t>Unless otherwise expressly agreed, t</w:t>
            </w:r>
            <w:r w:rsidRPr="00B2653E">
              <w:rPr>
                <w:sz w:val="24"/>
              </w:rPr>
              <w:t>he same negotiated rates apply to all Trading Counterparties and apply with respect to all Accounts.</w:t>
            </w:r>
          </w:p>
        </w:tc>
      </w:tr>
      <w:tr w:rsidR="00E66007" w:rsidRPr="00B2653E" w:rsidTr="00E66007">
        <w:trPr>
          <w:trHeight w:val="8190"/>
        </w:trPr>
        <w:tc>
          <w:tcPr>
            <w:tcW w:w="1434" w:type="pct"/>
            <w:tcBorders>
              <w:top w:val="nil"/>
              <w:left w:val="single" w:sz="4" w:space="0" w:color="auto"/>
              <w:bottom w:val="single" w:sz="4" w:space="0" w:color="auto"/>
              <w:right w:val="single" w:sz="4" w:space="0" w:color="auto"/>
            </w:tcBorders>
            <w:shd w:val="clear" w:color="000000" w:fill="FFFFFF"/>
          </w:tcPr>
          <w:p w:rsidR="00E66007" w:rsidRPr="00B2653E" w:rsidRDefault="00E66007" w:rsidP="00E66007">
            <w:pPr>
              <w:spacing w:after="0" w:line="240" w:lineRule="auto"/>
              <w:rPr>
                <w:sz w:val="24"/>
              </w:rPr>
            </w:pPr>
            <w:r w:rsidRPr="00B2653E">
              <w:rPr>
                <w:sz w:val="24"/>
              </w:rPr>
              <w:t xml:space="preserve">Securitised derivatives: warrants </w:t>
            </w:r>
          </w:p>
          <w:p w:rsidR="00E66007" w:rsidRPr="00B2653E" w:rsidRDefault="00E66007" w:rsidP="00E66007">
            <w:pPr>
              <w:spacing w:after="0" w:line="240" w:lineRule="auto"/>
              <w:rPr>
                <w:sz w:val="24"/>
              </w:rPr>
            </w:pPr>
          </w:p>
          <w:p w:rsidR="00E66007" w:rsidRPr="00B2653E" w:rsidRDefault="00E66007" w:rsidP="00E66007">
            <w:pPr>
              <w:spacing w:after="0" w:line="240" w:lineRule="auto"/>
              <w:rPr>
                <w:sz w:val="24"/>
              </w:rPr>
            </w:pPr>
            <w:r w:rsidRPr="00B2653E">
              <w:rPr>
                <w:sz w:val="24"/>
              </w:rPr>
              <w:t>Annex 13 of the SSGA best execution policy</w:t>
            </w:r>
          </w:p>
        </w:tc>
        <w:tc>
          <w:tcPr>
            <w:tcW w:w="98" w:type="pct"/>
            <w:tcBorders>
              <w:top w:val="nil"/>
              <w:left w:val="nil"/>
              <w:bottom w:val="single" w:sz="4" w:space="0" w:color="auto"/>
              <w:right w:val="single" w:sz="4" w:space="0" w:color="auto"/>
            </w:tcBorders>
            <w:shd w:val="clear" w:color="000000" w:fill="FFFFFF"/>
            <w:noWrap/>
          </w:tcPr>
          <w:p w:rsidR="00E66007" w:rsidRPr="00B2653E" w:rsidRDefault="00E66007" w:rsidP="00E66007">
            <w:pPr>
              <w:spacing w:after="0" w:line="240" w:lineRule="auto"/>
              <w:rPr>
                <w:sz w:val="24"/>
              </w:rPr>
            </w:pPr>
          </w:p>
        </w:tc>
        <w:tc>
          <w:tcPr>
            <w:tcW w:w="3468" w:type="pct"/>
            <w:tcBorders>
              <w:top w:val="nil"/>
              <w:left w:val="nil"/>
              <w:bottom w:val="single" w:sz="4" w:space="0" w:color="auto"/>
              <w:right w:val="single" w:sz="4" w:space="0" w:color="auto"/>
            </w:tcBorders>
            <w:shd w:val="clear" w:color="000000" w:fill="FFFFFF"/>
          </w:tcPr>
          <w:p w:rsidR="00E66007" w:rsidRPr="00B2653E" w:rsidRDefault="00E66007" w:rsidP="00E66007">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The price was determined by the Trading Counterparty if the warrant was being traded with the Trading Counterparty or otherwise by the relevant Execution Venue.</w:t>
            </w:r>
            <w:r w:rsidRPr="00B2653E">
              <w:rPr>
                <w:sz w:val="24"/>
              </w:rPr>
              <w:br/>
            </w:r>
            <w:r w:rsidRPr="00B2653E">
              <w:rPr>
                <w:sz w:val="24"/>
              </w:rPr>
              <w:br/>
            </w:r>
            <w:r w:rsidRPr="00B2653E">
              <w:rPr>
                <w:spacing w:val="2"/>
                <w:sz w:val="24"/>
              </w:rPr>
              <w:t>SSGA used the same negotiated commission schedule with each Trading Counterparty per market/region, and applied these for each Account it traded for</w:t>
            </w:r>
            <w:r w:rsidR="00E7461F">
              <w:rPr>
                <w:rStyle w:val="FootnoteReference"/>
                <w:spacing w:val="2"/>
                <w:sz w:val="24"/>
              </w:rPr>
              <w:footnoteReference w:id="6"/>
            </w:r>
            <w:r w:rsidRPr="00B2653E">
              <w:rPr>
                <w:spacing w:val="2"/>
                <w:sz w:val="24"/>
              </w:rPr>
              <w:t xml:space="preserve">. </w:t>
            </w:r>
            <w:r w:rsidRPr="00B2653E">
              <w:rPr>
                <w:bCs/>
                <w:sz w:val="24"/>
              </w:rPr>
              <w:t xml:space="preserve">These negotiated equity commission rates took into account considerations such as liquidity, market conditions or trading expertise needed to achieve execution.   </w:t>
            </w:r>
          </w:p>
        </w:tc>
      </w:tr>
      <w:tr w:rsidR="00B2653E" w:rsidRPr="00B2653E" w:rsidTr="00E66007">
        <w:trPr>
          <w:trHeight w:val="8190"/>
        </w:trPr>
        <w:tc>
          <w:tcPr>
            <w:tcW w:w="1434" w:type="pct"/>
            <w:tcBorders>
              <w:top w:val="single" w:sz="4" w:space="0" w:color="auto"/>
              <w:left w:val="single" w:sz="4" w:space="0" w:color="auto"/>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Exchange traded Funds (“ETFs”)</w:t>
            </w:r>
          </w:p>
          <w:p w:rsidR="00B2653E" w:rsidRPr="00B2653E" w:rsidRDefault="00B2653E" w:rsidP="00353779">
            <w:pPr>
              <w:spacing w:after="0" w:line="240" w:lineRule="auto"/>
              <w:rPr>
                <w:sz w:val="24"/>
              </w:rPr>
            </w:pPr>
          </w:p>
          <w:p w:rsidR="00B2653E" w:rsidRPr="00B2653E" w:rsidRDefault="00B2653E" w:rsidP="00353779">
            <w:pPr>
              <w:spacing w:after="0" w:line="240" w:lineRule="auto"/>
              <w:rPr>
                <w:sz w:val="24"/>
              </w:rPr>
            </w:pPr>
            <w:r w:rsidRPr="00B2653E">
              <w:rPr>
                <w:sz w:val="24"/>
              </w:rPr>
              <w:t>Annex 16 of the SSGA best execution policy</w:t>
            </w:r>
          </w:p>
        </w:tc>
        <w:tc>
          <w:tcPr>
            <w:tcW w:w="98" w:type="pct"/>
            <w:tcBorders>
              <w:top w:val="single" w:sz="4" w:space="0" w:color="auto"/>
              <w:left w:val="nil"/>
              <w:bottom w:val="single" w:sz="4" w:space="0" w:color="auto"/>
              <w:right w:val="single" w:sz="4" w:space="0" w:color="auto"/>
            </w:tcBorders>
            <w:shd w:val="clear" w:color="000000" w:fill="FFFFFF"/>
            <w:noWrap/>
            <w:hideMark/>
          </w:tcPr>
          <w:p w:rsidR="00B2653E" w:rsidRPr="00B2653E" w:rsidRDefault="00B2653E" w:rsidP="00353779">
            <w:pPr>
              <w:spacing w:after="0" w:line="240" w:lineRule="auto"/>
              <w:rPr>
                <w:sz w:val="24"/>
              </w:rPr>
            </w:pPr>
            <w:r w:rsidRPr="00B2653E">
              <w:rPr>
                <w:sz w:val="24"/>
              </w:rPr>
              <w:t> </w:t>
            </w:r>
          </w:p>
        </w:tc>
        <w:tc>
          <w:tcPr>
            <w:tcW w:w="3468" w:type="pct"/>
            <w:tcBorders>
              <w:top w:val="single" w:sz="4" w:space="0" w:color="auto"/>
              <w:left w:val="nil"/>
              <w:bottom w:val="single" w:sz="4" w:space="0" w:color="auto"/>
              <w:right w:val="single" w:sz="4" w:space="0" w:color="auto"/>
            </w:tcBorders>
            <w:shd w:val="clear" w:color="000000" w:fill="FFFFFF"/>
            <w:hideMark/>
          </w:tcPr>
          <w:p w:rsidR="00B2653E" w:rsidRPr="00B2653E" w:rsidRDefault="00B2653E" w:rsidP="00353779">
            <w:pPr>
              <w:spacing w:after="0" w:line="240" w:lineRule="auto"/>
              <w:rPr>
                <w:sz w:val="24"/>
              </w:rPr>
            </w:pPr>
            <w:r w:rsidRPr="00B2653E">
              <w:rPr>
                <w:sz w:val="24"/>
              </w:rPr>
              <w:t>Details of relevant execution factors are set out in the “relevant criteria” section of the SSGA best execution policy.</w:t>
            </w:r>
            <w:r w:rsidRPr="00B2653E">
              <w:rPr>
                <w:sz w:val="24"/>
              </w:rPr>
              <w:br/>
            </w:r>
            <w:r w:rsidRPr="00B2653E">
              <w:rPr>
                <w:sz w:val="24"/>
              </w:rPr>
              <w:br/>
              <w:t>The price was determined by the Trading Counterparty if the ETF was being traded with the Trading Counterparty or otherwise by the relevant Execution Venue.</w:t>
            </w:r>
            <w:r w:rsidRPr="00B2653E">
              <w:rPr>
                <w:sz w:val="24"/>
              </w:rPr>
              <w:br/>
            </w:r>
            <w:r w:rsidRPr="00B2653E">
              <w:rPr>
                <w:sz w:val="24"/>
              </w:rPr>
              <w:br/>
              <w:t>For certain exchange traded products, SSGA compared the likely costs to execute in the market against the costs and feasibility of creating/redeeming units via the ETF provider. If we chose to execute via the create/redeem method we partnered with a counterparty that acted as an Authorised Participant to the ETF provider. There were fees and costs associated with the create/redeem method, but the additional liquidity of the underlying and the likely reduced implicit costs made this approach attractive in certain scenarios.</w:t>
            </w:r>
            <w:r w:rsidRPr="00B2653E">
              <w:rPr>
                <w:sz w:val="24"/>
              </w:rPr>
              <w:br/>
            </w:r>
            <w:r w:rsidRPr="00B2653E">
              <w:rPr>
                <w:sz w:val="24"/>
              </w:rPr>
              <w:br/>
              <w:t>In certain situations and conditions SSGA made use of a RFQ platform in order to collect bids/offers.</w:t>
            </w:r>
            <w:r w:rsidRPr="00B2653E">
              <w:rPr>
                <w:sz w:val="24"/>
              </w:rPr>
              <w:br/>
            </w:r>
            <w:r w:rsidRPr="00B2653E">
              <w:rPr>
                <w:sz w:val="24"/>
              </w:rPr>
              <w:br/>
            </w:r>
            <w:r w:rsidRPr="00B2653E">
              <w:rPr>
                <w:bCs/>
                <w:sz w:val="24"/>
              </w:rPr>
              <w:t>SSGA used the same negotiated commission schedule with each Trading Counterparty per market/region, and applied these to each Account it traded for.</w:t>
            </w:r>
            <w:r w:rsidRPr="00B2653E">
              <w:rPr>
                <w:rStyle w:val="FootnoteReference"/>
                <w:bCs/>
                <w:sz w:val="24"/>
              </w:rPr>
              <w:footnoteReference w:id="7"/>
            </w:r>
            <w:r w:rsidRPr="00B2653E">
              <w:rPr>
                <w:bCs/>
                <w:sz w:val="24"/>
              </w:rPr>
              <w:t xml:space="preserve"> These negotiated equity commission rates took into account considerations such as liquidity, market conditions or trading expertise needed to achieve execution.   </w:t>
            </w:r>
          </w:p>
        </w:tc>
      </w:tr>
    </w:tbl>
    <w:p w:rsidR="005A0F66" w:rsidRDefault="005A0F66" w:rsidP="00B2653E">
      <w:pPr>
        <w:ind w:left="720"/>
        <w:rPr>
          <w:b/>
          <w:szCs w:val="20"/>
        </w:rPr>
      </w:pPr>
    </w:p>
    <w:p w:rsidR="00B2653E" w:rsidRPr="00DE3E93" w:rsidRDefault="00B2653E" w:rsidP="00B2653E">
      <w:pPr>
        <w:spacing w:after="240"/>
        <w:rPr>
          <w:rFonts w:ascii="Georgia" w:hAnsi="Georgia"/>
          <w:b/>
          <w:color w:val="7AAA6C"/>
          <w:spacing w:val="-5"/>
          <w:sz w:val="28"/>
          <w:szCs w:val="28"/>
        </w:rPr>
      </w:pPr>
      <w:r w:rsidRPr="00DE3E93">
        <w:rPr>
          <w:rFonts w:ascii="Georgia" w:hAnsi="Georgia"/>
          <w:b/>
          <w:color w:val="7AAA6C"/>
          <w:spacing w:val="-5"/>
          <w:sz w:val="28"/>
          <w:szCs w:val="28"/>
        </w:rPr>
        <w:t>Defined Terms</w:t>
      </w:r>
    </w:p>
    <w:tbl>
      <w:tblPr>
        <w:tblW w:w="0" w:type="auto"/>
        <w:tblBorders>
          <w:top w:val="single" w:sz="4" w:space="0" w:color="CCCCCC" w:themeColor="background1" w:themeTint="66"/>
          <w:bottom w:val="single" w:sz="4" w:space="0" w:color="CCCCCC" w:themeColor="background1" w:themeTint="66"/>
          <w:insideH w:val="single" w:sz="4" w:space="0" w:color="CCCCCC" w:themeColor="background1" w:themeTint="66"/>
          <w:insideV w:val="single" w:sz="4" w:space="0" w:color="808080"/>
        </w:tblBorders>
        <w:tblLook w:val="04A0" w:firstRow="1" w:lastRow="0" w:firstColumn="1" w:lastColumn="0" w:noHBand="0" w:noVBand="1"/>
      </w:tblPr>
      <w:tblGrid>
        <w:gridCol w:w="1944"/>
        <w:gridCol w:w="7974"/>
      </w:tblGrid>
      <w:tr w:rsidR="00B2653E" w:rsidRPr="00420D83" w:rsidTr="00353779">
        <w:tc>
          <w:tcPr>
            <w:tcW w:w="1944" w:type="dxa"/>
            <w:tcBorders>
              <w:top w:val="nil"/>
              <w:right w:val="nil"/>
            </w:tcBorders>
          </w:tcPr>
          <w:p w:rsidR="00B2653E" w:rsidRPr="00420D83" w:rsidRDefault="00B2653E" w:rsidP="00353779">
            <w:pPr>
              <w:spacing w:line="240" w:lineRule="auto"/>
              <w:rPr>
                <w:sz w:val="22"/>
                <w:szCs w:val="22"/>
              </w:rPr>
            </w:pPr>
            <w:r w:rsidRPr="00420D83">
              <w:rPr>
                <w:sz w:val="22"/>
                <w:szCs w:val="22"/>
              </w:rPr>
              <w:t>Account(s)</w:t>
            </w:r>
          </w:p>
        </w:tc>
        <w:tc>
          <w:tcPr>
            <w:tcW w:w="7974" w:type="dxa"/>
            <w:tcBorders>
              <w:top w:val="nil"/>
              <w:left w:val="nil"/>
            </w:tcBorders>
          </w:tcPr>
          <w:p w:rsidR="005C1C31" w:rsidRDefault="00B2653E" w:rsidP="005C1C31">
            <w:pPr>
              <w:spacing w:after="0" w:line="240" w:lineRule="auto"/>
              <w:rPr>
                <w:sz w:val="22"/>
                <w:szCs w:val="22"/>
              </w:rPr>
            </w:pPr>
            <w:r w:rsidRPr="00420D83">
              <w:rPr>
                <w:rFonts w:cstheme="minorHAnsi"/>
                <w:sz w:val="22"/>
                <w:szCs w:val="22"/>
              </w:rPr>
              <w:t xml:space="preserve">       Any segregated client account or pooled fund account for which SSGA</w:t>
            </w:r>
            <w:r w:rsidRPr="00420D83">
              <w:rPr>
                <w:sz w:val="22"/>
                <w:szCs w:val="22"/>
              </w:rPr>
              <w:t xml:space="preserve"> executes an </w:t>
            </w:r>
          </w:p>
          <w:p w:rsidR="00B2653E" w:rsidRPr="00420D83" w:rsidRDefault="005C1C31" w:rsidP="005C1C31">
            <w:pPr>
              <w:spacing w:before="0" w:line="240" w:lineRule="auto"/>
              <w:rPr>
                <w:b/>
                <w:caps/>
                <w:sz w:val="22"/>
                <w:szCs w:val="22"/>
              </w:rPr>
            </w:pPr>
            <w:r>
              <w:rPr>
                <w:sz w:val="22"/>
                <w:szCs w:val="22"/>
              </w:rPr>
              <w:t xml:space="preserve">       </w:t>
            </w:r>
            <w:r w:rsidR="00B2653E" w:rsidRPr="00420D83">
              <w:rPr>
                <w:sz w:val="22"/>
                <w:szCs w:val="22"/>
              </w:rPr>
              <w:t>order</w:t>
            </w:r>
          </w:p>
        </w:tc>
      </w:tr>
      <w:tr w:rsidR="00B2653E" w:rsidRPr="00420D83" w:rsidTr="00353779">
        <w:tc>
          <w:tcPr>
            <w:tcW w:w="1944" w:type="dxa"/>
            <w:tcBorders>
              <w:right w:val="nil"/>
            </w:tcBorders>
          </w:tcPr>
          <w:p w:rsidR="00B2653E" w:rsidRPr="00420D83" w:rsidRDefault="00B2653E" w:rsidP="005C1C31">
            <w:pPr>
              <w:spacing w:after="60" w:line="240" w:lineRule="auto"/>
              <w:rPr>
                <w:sz w:val="22"/>
                <w:szCs w:val="22"/>
              </w:rPr>
            </w:pPr>
            <w:r w:rsidRPr="00420D83">
              <w:rPr>
                <w:sz w:val="22"/>
                <w:szCs w:val="22"/>
              </w:rPr>
              <w:t>Execution Venue(s)</w:t>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r>
            <w:r w:rsidRPr="00420D83">
              <w:rPr>
                <w:sz w:val="22"/>
                <w:szCs w:val="22"/>
              </w:rPr>
              <w:br/>
              <w:t>Trading Counterparty</w:t>
            </w:r>
            <w:r w:rsidRPr="00420D83" w:rsidDel="00B74726">
              <w:rPr>
                <w:sz w:val="22"/>
                <w:szCs w:val="22"/>
              </w:rPr>
              <w:t xml:space="preserve"> </w:t>
            </w:r>
          </w:p>
        </w:tc>
        <w:tc>
          <w:tcPr>
            <w:tcW w:w="7974" w:type="dxa"/>
            <w:tcBorders>
              <w:left w:val="nil"/>
            </w:tcBorders>
          </w:tcPr>
          <w:tbl>
            <w:tblPr>
              <w:tblW w:w="0" w:type="auto"/>
              <w:tblBorders>
                <w:top w:val="single" w:sz="4" w:space="0" w:color="CCCCCC" w:themeColor="background1" w:themeTint="66"/>
                <w:bottom w:val="single" w:sz="4" w:space="0" w:color="CCCCCC" w:themeColor="background1" w:themeTint="66"/>
                <w:insideH w:val="single" w:sz="4" w:space="0" w:color="CCCCCC" w:themeColor="background1" w:themeTint="66"/>
                <w:insideV w:val="single" w:sz="4" w:space="0" w:color="808080"/>
              </w:tblBorders>
              <w:tblLook w:val="04A0" w:firstRow="1" w:lastRow="0" w:firstColumn="1" w:lastColumn="0" w:noHBand="0" w:noVBand="1"/>
            </w:tblPr>
            <w:tblGrid>
              <w:gridCol w:w="236"/>
              <w:gridCol w:w="6265"/>
            </w:tblGrid>
            <w:tr w:rsidR="00B2653E" w:rsidRPr="00420D83" w:rsidTr="00353779">
              <w:tc>
                <w:tcPr>
                  <w:tcW w:w="236" w:type="dxa"/>
                  <w:tcBorders>
                    <w:right w:val="nil"/>
                  </w:tcBorders>
                </w:tcPr>
                <w:p w:rsidR="00B2653E" w:rsidRPr="00420D83" w:rsidRDefault="00B2653E" w:rsidP="00353779">
                  <w:pPr>
                    <w:spacing w:before="60" w:after="60"/>
                    <w:rPr>
                      <w:sz w:val="22"/>
                      <w:szCs w:val="22"/>
                    </w:rPr>
                  </w:pPr>
                </w:p>
              </w:tc>
              <w:tc>
                <w:tcPr>
                  <w:tcW w:w="6265" w:type="dxa"/>
                  <w:tcBorders>
                    <w:left w:val="nil"/>
                  </w:tcBorders>
                </w:tcPr>
                <w:p w:rsidR="00B2653E" w:rsidRPr="00420D83" w:rsidRDefault="00B2653E" w:rsidP="00353779">
                  <w:pPr>
                    <w:spacing w:before="60"/>
                    <w:rPr>
                      <w:sz w:val="22"/>
                      <w:szCs w:val="22"/>
                    </w:rPr>
                  </w:pPr>
                  <w:r w:rsidRPr="00420D83">
                    <w:rPr>
                      <w:sz w:val="22"/>
                      <w:szCs w:val="22"/>
                    </w:rPr>
                    <w:t>Means the following:</w:t>
                  </w:r>
                </w:p>
                <w:p w:rsidR="00B2653E" w:rsidRPr="00420D83" w:rsidRDefault="00B2653E" w:rsidP="00B2653E">
                  <w:pPr>
                    <w:pStyle w:val="ListParagraph"/>
                    <w:numPr>
                      <w:ilvl w:val="0"/>
                      <w:numId w:val="29"/>
                    </w:numPr>
                    <w:spacing w:after="120"/>
                    <w:ind w:left="403"/>
                    <w:rPr>
                      <w:rFonts w:asciiTheme="minorHAnsi" w:hAnsiTheme="minorHAnsi"/>
                      <w:sz w:val="22"/>
                      <w:szCs w:val="22"/>
                    </w:rPr>
                  </w:pPr>
                  <w:r w:rsidRPr="00420D83">
                    <w:rPr>
                      <w:rFonts w:asciiTheme="minorHAnsi" w:hAnsiTheme="minorHAnsi"/>
                      <w:sz w:val="22"/>
                      <w:szCs w:val="22"/>
                    </w:rPr>
                    <w:t xml:space="preserve">regulated markets; </w:t>
                  </w:r>
                </w:p>
                <w:p w:rsidR="00B2653E" w:rsidRPr="00420D83" w:rsidRDefault="00B2653E" w:rsidP="00B2653E">
                  <w:pPr>
                    <w:pStyle w:val="ListParagraph"/>
                    <w:numPr>
                      <w:ilvl w:val="0"/>
                      <w:numId w:val="29"/>
                    </w:numPr>
                    <w:spacing w:after="120"/>
                    <w:ind w:left="406" w:hanging="406"/>
                    <w:contextualSpacing/>
                    <w:rPr>
                      <w:rFonts w:asciiTheme="minorHAnsi" w:hAnsiTheme="minorHAnsi"/>
                      <w:sz w:val="22"/>
                      <w:szCs w:val="22"/>
                    </w:rPr>
                  </w:pPr>
                  <w:r w:rsidRPr="00420D83">
                    <w:rPr>
                      <w:rFonts w:asciiTheme="minorHAnsi" w:hAnsiTheme="minorHAnsi"/>
                      <w:sz w:val="22"/>
                      <w:szCs w:val="22"/>
                    </w:rPr>
                    <w:t xml:space="preserve">multilateral trading facilities ("MTF") </w:t>
                  </w:r>
                  <w:r w:rsidRPr="00420D83">
                    <w:rPr>
                      <w:rFonts w:asciiTheme="minorHAnsi" w:hAnsiTheme="minorHAnsi" w:cstheme="minorHAnsi"/>
                      <w:sz w:val="22"/>
                      <w:szCs w:val="22"/>
                    </w:rPr>
                    <w:t>(i.e. a multilateral system, operated by an investment firm or a market operator, which brings together multiple third-party buying and selling interests in financial instruments – in the system and in accordance with non-discretionary rules – in a way that results in a contract)</w:t>
                  </w:r>
                  <w:r w:rsidRPr="00420D83">
                    <w:rPr>
                      <w:rFonts w:asciiTheme="minorHAnsi" w:hAnsiTheme="minorHAnsi"/>
                      <w:sz w:val="22"/>
                      <w:szCs w:val="22"/>
                    </w:rPr>
                    <w:t>;</w:t>
                  </w:r>
                  <w:r w:rsidRPr="00420D83">
                    <w:rPr>
                      <w:rFonts w:asciiTheme="minorHAnsi" w:hAnsiTheme="minorHAnsi"/>
                      <w:sz w:val="22"/>
                      <w:szCs w:val="22"/>
                    </w:rPr>
                    <w:br/>
                  </w:r>
                </w:p>
                <w:p w:rsidR="00B2653E" w:rsidRPr="00420D83" w:rsidRDefault="00B2653E" w:rsidP="00B2653E">
                  <w:pPr>
                    <w:pStyle w:val="ListParagraph"/>
                    <w:numPr>
                      <w:ilvl w:val="0"/>
                      <w:numId w:val="29"/>
                    </w:numPr>
                    <w:spacing w:after="120"/>
                    <w:ind w:left="403"/>
                    <w:rPr>
                      <w:rFonts w:asciiTheme="minorHAnsi" w:hAnsiTheme="minorHAnsi"/>
                      <w:sz w:val="22"/>
                      <w:szCs w:val="22"/>
                    </w:rPr>
                  </w:pPr>
                  <w:r w:rsidRPr="00420D83">
                    <w:rPr>
                      <w:rFonts w:asciiTheme="minorHAnsi" w:hAnsiTheme="minorHAnsi"/>
                      <w:sz w:val="22"/>
                      <w:szCs w:val="22"/>
                    </w:rPr>
                    <w:t>systematic internalisers (“SI”) (</w:t>
                  </w:r>
                  <w:r w:rsidRPr="00420D83">
                    <w:rPr>
                      <w:rFonts w:asciiTheme="minorHAnsi" w:hAnsiTheme="minorHAnsi"/>
                      <w:i/>
                      <w:sz w:val="22"/>
                      <w:szCs w:val="22"/>
                    </w:rPr>
                    <w:t>i.e</w:t>
                  </w:r>
                  <w:r w:rsidRPr="00420D83">
                    <w:rPr>
                      <w:rFonts w:asciiTheme="minorHAnsi" w:hAnsiTheme="minorHAnsi"/>
                      <w:sz w:val="22"/>
                      <w:szCs w:val="22"/>
                    </w:rPr>
                    <w:t>., a firm which, on an organized, frequent and systematic basis, deals on own account by executing client orders outside a regulated market or an MTF);</w:t>
                  </w:r>
                </w:p>
                <w:p w:rsidR="00B2653E" w:rsidRPr="00420D83" w:rsidRDefault="00B2653E" w:rsidP="00B2653E">
                  <w:pPr>
                    <w:pStyle w:val="ListParagraph"/>
                    <w:numPr>
                      <w:ilvl w:val="0"/>
                      <w:numId w:val="29"/>
                    </w:numPr>
                    <w:spacing w:after="120"/>
                    <w:ind w:left="403"/>
                    <w:rPr>
                      <w:rFonts w:asciiTheme="minorHAnsi" w:hAnsiTheme="minorHAnsi"/>
                      <w:sz w:val="22"/>
                      <w:szCs w:val="22"/>
                    </w:rPr>
                  </w:pPr>
                  <w:r w:rsidRPr="00420D83">
                    <w:rPr>
                      <w:rFonts w:asciiTheme="minorHAnsi" w:hAnsiTheme="minorHAnsi" w:cstheme="minorHAnsi"/>
                      <w:sz w:val="22"/>
                      <w:szCs w:val="22"/>
                    </w:rPr>
                    <w:t>organized trading facilities (“OTF”) (i.e. any facility or system that is not an MTF or regulated market, operated by an investment firm or market operator in which multiple third party buying and selling interests in financial instruments are able to interact in the system in a way that results in a contract); or</w:t>
                  </w:r>
                </w:p>
                <w:p w:rsidR="00B2653E" w:rsidRPr="00420D83" w:rsidRDefault="00B2653E" w:rsidP="00B2653E">
                  <w:pPr>
                    <w:pStyle w:val="ListParagraph"/>
                    <w:numPr>
                      <w:ilvl w:val="0"/>
                      <w:numId w:val="29"/>
                    </w:numPr>
                    <w:spacing w:after="60"/>
                    <w:ind w:left="403"/>
                    <w:rPr>
                      <w:rFonts w:asciiTheme="minorHAnsi" w:hAnsiTheme="minorHAnsi"/>
                      <w:sz w:val="22"/>
                      <w:szCs w:val="22"/>
                    </w:rPr>
                  </w:pPr>
                  <w:r w:rsidRPr="00420D83">
                    <w:rPr>
                      <w:rFonts w:asciiTheme="minorHAnsi" w:hAnsiTheme="minorHAnsi"/>
                      <w:sz w:val="22"/>
                      <w:szCs w:val="22"/>
                    </w:rPr>
                    <w:t>market makers or other liquidity providers (which includes non-European Economic  Entities that perform a similar function to the other Execution Venues listed above)</w:t>
                  </w:r>
                </w:p>
              </w:tc>
            </w:tr>
          </w:tbl>
          <w:p w:rsidR="00B2653E" w:rsidRPr="00420D83" w:rsidRDefault="00B2653E" w:rsidP="001648F0">
            <w:pPr>
              <w:spacing w:before="60" w:after="60" w:line="240" w:lineRule="auto"/>
              <w:rPr>
                <w:b/>
                <w:sz w:val="22"/>
                <w:szCs w:val="22"/>
              </w:rPr>
            </w:pPr>
            <w:r w:rsidRPr="00420D83">
              <w:rPr>
                <w:sz w:val="22"/>
                <w:szCs w:val="22"/>
              </w:rPr>
              <w:t>Brokers, dealers, clearing members, futures commission merchants, banks, agents, prime brokers or other counterparties, including counterparties to over-the-counter transactions.</w:t>
            </w:r>
          </w:p>
        </w:tc>
      </w:tr>
    </w:tbl>
    <w:p w:rsidR="00B2653E" w:rsidRPr="00816255" w:rsidRDefault="00B2653E" w:rsidP="00420D83">
      <w:pPr>
        <w:rPr>
          <w:b/>
          <w:szCs w:val="20"/>
        </w:rPr>
      </w:pPr>
    </w:p>
    <w:sectPr w:rsidR="00B2653E" w:rsidRPr="00816255" w:rsidSect="00271906">
      <w:headerReference w:type="even" r:id="rId15"/>
      <w:headerReference w:type="default" r:id="rId16"/>
      <w:footerReference w:type="even" r:id="rId17"/>
      <w:footerReference w:type="default" r:id="rId18"/>
      <w:headerReference w:type="first" r:id="rId19"/>
      <w:footerReference w:type="first" r:id="rId20"/>
      <w:type w:val="continuous"/>
      <w:pgSz w:w="16834" w:h="11909" w:orient="landscape" w:code="9"/>
      <w:pgMar w:top="288" w:right="2419" w:bottom="1008" w:left="547" w:header="288" w:footer="504"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C40" w:rsidRDefault="00650C40">
      <w:r>
        <w:separator/>
      </w:r>
    </w:p>
    <w:p w:rsidR="00650C40" w:rsidRDefault="00650C40"/>
    <w:p w:rsidR="00650C40" w:rsidRDefault="00650C40"/>
    <w:p w:rsidR="00650C40" w:rsidRDefault="00650C40"/>
    <w:p w:rsidR="00650C40" w:rsidRDefault="00650C40"/>
  </w:endnote>
  <w:endnote w:type="continuationSeparator" w:id="0">
    <w:p w:rsidR="00650C40" w:rsidRDefault="00650C40">
      <w:r>
        <w:continuationSeparator/>
      </w:r>
    </w:p>
    <w:p w:rsidR="00650C40" w:rsidRDefault="00650C40"/>
    <w:p w:rsidR="00650C40" w:rsidRDefault="00650C40"/>
    <w:p w:rsidR="00650C40" w:rsidRDefault="00650C40"/>
    <w:p w:rsidR="00650C40" w:rsidRDefault="00650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ArialMT">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ICTFontTextStyleBody">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E4" w:rsidRDefault="00FB24E4" w:rsidP="00FB24E4">
    <w:pPr>
      <w:pStyle w:val="Footer"/>
      <w:rPr>
        <w:rFonts w:ascii="Arial" w:hAnsi="Arial" w:cs="Arial"/>
        <w:color w:val="000000"/>
      </w:rPr>
    </w:pPr>
    <w:bookmarkStart w:id="0" w:name="SSCStd1FooterEvenPages"/>
    <w:r w:rsidRPr="00FB24E4">
      <w:rPr>
        <w:rFonts w:ascii="Arial" w:hAnsi="Arial" w:cs="Arial"/>
        <w:color w:val="000000"/>
      </w:rPr>
      <w:t>Information Classification: General</w:t>
    </w:r>
  </w:p>
  <w:bookmarkEnd w:id="0"/>
  <w:p w:rsidR="00A50610" w:rsidRPr="008F27D9" w:rsidRDefault="00A50610" w:rsidP="008F27D9">
    <w:pPr>
      <w:pStyle w:val="Footer"/>
      <w:rPr>
        <w:rStyle w:val="PageNumber"/>
        <w:rFonts w:asciiTheme="majorHAnsi" w:eastAsia="ヒラギノ角ゴ Pro W3" w:hAnsiTheme="majorHAnsi"/>
        <w:caps w:val="0"/>
        <w:color w:val="000000" w:themeColor="text1"/>
        <w:sz w:val="18"/>
      </w:rPr>
    </w:pPr>
    <w:r w:rsidRPr="008F27D9">
      <w:t>State Street Global Advisors</w:t>
    </w:r>
    <w:r w:rsidRPr="008F27D9">
      <w:rPr>
        <w:noProof/>
      </w:rPr>
      <mc:AlternateContent>
        <mc:Choice Requires="wps">
          <w:drawing>
            <wp:anchor distT="0" distB="0" distL="114300" distR="114300" simplePos="0" relativeHeight="251672064" behindDoc="1" locked="1" layoutInCell="1" allowOverlap="1" wp14:anchorId="1C411687" wp14:editId="080A0C71">
              <wp:simplePos x="0" y="0"/>
              <wp:positionH relativeFrom="page">
                <wp:posOffset>118745</wp:posOffset>
              </wp:positionH>
              <wp:positionV relativeFrom="page">
                <wp:posOffset>6949440</wp:posOffset>
              </wp:positionV>
              <wp:extent cx="10451592" cy="457200"/>
              <wp:effectExtent l="0" t="0" r="6985" b="0"/>
              <wp:wrapNone/>
              <wp:docPr id="6" name="Rectangle 6"/>
              <wp:cNvGraphicFramePr/>
              <a:graphic xmlns:a="http://schemas.openxmlformats.org/drawingml/2006/main">
                <a:graphicData uri="http://schemas.microsoft.com/office/word/2010/wordprocessingShape">
                  <wps:wsp>
                    <wps:cNvSpPr/>
                    <wps:spPr bwMode="auto">
                      <a:xfrm>
                        <a:off x="0" y="0"/>
                        <a:ext cx="10451592" cy="457200"/>
                      </a:xfrm>
                      <a:prstGeom prst="rect">
                        <a:avLst/>
                      </a:prstGeom>
                      <a:solidFill>
                        <a:srgbClr val="BFDABA"/>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AEC0B" id="Rectangle 6" o:spid="_x0000_s1026" style="position:absolute;margin-left:9.35pt;margin-top:547.2pt;width:822.95pt;height:36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" fillcolor="#bfdaba" stroked="f">
              <v:stroke joinstyle="round"/>
              <w10:wrap anchorx="page" anchory="page"/>
              <w10:anchorlock/>
            </v:rect>
          </w:pict>
        </mc:Fallback>
      </mc:AlternateContent>
    </w:r>
    <w:r>
      <w:tab/>
    </w:r>
    <w:r w:rsidRPr="00FB308E">
      <w:rPr>
        <w:rFonts w:eastAsia="ヒラギノ角ゴ Pro W3"/>
      </w:rPr>
      <w:tab/>
    </w:r>
    <w:r w:rsidRPr="00FB308E">
      <w:rPr>
        <w:rFonts w:eastAsia="ヒラギノ角ゴ Pro W3"/>
      </w:rPr>
      <w:fldChar w:fldCharType="begin"/>
    </w:r>
    <w:r w:rsidRPr="00FB308E">
      <w:rPr>
        <w:rFonts w:eastAsia="ヒラギノ角ゴ Pro W3"/>
      </w:rPr>
      <w:instrText xml:space="preserve"> PAGE   \* MERGEFORMAT </w:instrText>
    </w:r>
    <w:r w:rsidRPr="00FB308E">
      <w:rPr>
        <w:rFonts w:eastAsia="ヒラギノ角ゴ Pro W3"/>
      </w:rPr>
      <w:fldChar w:fldCharType="separate"/>
    </w:r>
    <w:r>
      <w:rPr>
        <w:rFonts w:eastAsia="ヒラギノ角ゴ Pro W3"/>
        <w:noProof/>
      </w:rPr>
      <w:t>2</w:t>
    </w:r>
    <w:r w:rsidRPr="00FB308E">
      <w:rPr>
        <w:rFonts w:eastAsia="ヒラギノ角ゴ Pro W3"/>
      </w:rPr>
      <w:fldChar w:fldCharType="end"/>
    </w:r>
    <w:r w:rsidRPr="00FB308E">
      <w:rPr>
        <w:rFonts w:eastAsia="ヒラギノ角ゴ Pro W3"/>
      </w:rPr>
      <w:t>/</w:t>
    </w:r>
    <w:r w:rsidRPr="00FB308E">
      <w:rPr>
        <w:rFonts w:eastAsia="ヒラギノ角ゴ Pro W3"/>
      </w:rPr>
      <w:fldChar w:fldCharType="begin"/>
    </w:r>
    <w:r w:rsidRPr="00FB308E">
      <w:rPr>
        <w:rFonts w:eastAsia="ヒラギノ角ゴ Pro W3"/>
      </w:rPr>
      <w:instrText xml:space="preserve"> NUMPAGES  \* Arabic  \* MERGEFORMAT </w:instrText>
    </w:r>
    <w:r w:rsidRPr="00FB308E">
      <w:rPr>
        <w:rFonts w:eastAsia="ヒラギノ角ゴ Pro W3"/>
      </w:rPr>
      <w:fldChar w:fldCharType="separate"/>
    </w:r>
    <w:r w:rsidR="001648F0">
      <w:rPr>
        <w:rFonts w:eastAsia="ヒラギノ角ゴ Pro W3"/>
        <w:noProof/>
      </w:rPr>
      <w:t>1</w:t>
    </w:r>
    <w:r w:rsidRPr="00FB308E">
      <w:rPr>
        <w:rFonts w:eastAsia="ヒラギノ角ゴ Pro W3"/>
      </w:rPr>
      <w:fldChar w:fldCharType="end"/>
    </w:r>
  </w:p>
  <w:p w:rsidR="00A50610" w:rsidRDefault="00A50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E4" w:rsidRDefault="00FB24E4" w:rsidP="00FB24E4">
    <w:pPr>
      <w:pStyle w:val="Footer"/>
      <w:rPr>
        <w:rFonts w:ascii="Arial" w:hAnsi="Arial" w:cs="Arial"/>
        <w:color w:val="000000"/>
      </w:rPr>
    </w:pPr>
    <w:bookmarkStart w:id="1" w:name="SSCStd1FooterPrimary"/>
    <w:r w:rsidRPr="00FB24E4">
      <w:rPr>
        <w:rFonts w:ascii="Arial" w:hAnsi="Arial" w:cs="Arial"/>
        <w:color w:val="000000"/>
      </w:rPr>
      <w:t>Information Classification: General</w:t>
    </w:r>
  </w:p>
  <w:bookmarkEnd w:id="1"/>
  <w:p w:rsidR="002E2CE3" w:rsidRPr="008F27D9" w:rsidRDefault="00A01A2E" w:rsidP="008F27D9">
    <w:pPr>
      <w:pStyle w:val="Footer"/>
      <w:rPr>
        <w:rStyle w:val="PageNumber"/>
        <w:rFonts w:asciiTheme="majorHAnsi" w:eastAsia="ヒラギノ角ゴ Pro W3" w:hAnsiTheme="majorHAnsi"/>
        <w:caps w:val="0"/>
        <w:color w:val="000000" w:themeColor="text1"/>
        <w:sz w:val="18"/>
      </w:rPr>
    </w:pPr>
    <w:r w:rsidRPr="008F27D9">
      <w:t>State Street Global Advisors</w:t>
    </w:r>
    <w:r w:rsidRPr="008F27D9">
      <w:rPr>
        <w:noProof/>
      </w:rPr>
      <mc:AlternateContent>
        <mc:Choice Requires="wps">
          <w:drawing>
            <wp:anchor distT="0" distB="0" distL="114300" distR="114300" simplePos="0" relativeHeight="251663360" behindDoc="1" locked="1" layoutInCell="1" allowOverlap="1" wp14:anchorId="2D802796" wp14:editId="287B7D9C">
              <wp:simplePos x="0" y="0"/>
              <wp:positionH relativeFrom="page">
                <wp:posOffset>118745</wp:posOffset>
              </wp:positionH>
              <wp:positionV relativeFrom="page">
                <wp:posOffset>6949440</wp:posOffset>
              </wp:positionV>
              <wp:extent cx="10451592" cy="457200"/>
              <wp:effectExtent l="0" t="0" r="6985" b="0"/>
              <wp:wrapNone/>
              <wp:docPr id="12" name="Rectangle 12"/>
              <wp:cNvGraphicFramePr/>
              <a:graphic xmlns:a="http://schemas.openxmlformats.org/drawingml/2006/main">
                <a:graphicData uri="http://schemas.microsoft.com/office/word/2010/wordprocessingShape">
                  <wps:wsp>
                    <wps:cNvSpPr/>
                    <wps:spPr bwMode="auto">
                      <a:xfrm>
                        <a:off x="0" y="0"/>
                        <a:ext cx="10451592" cy="457200"/>
                      </a:xfrm>
                      <a:prstGeom prst="rect">
                        <a:avLst/>
                      </a:prstGeom>
                      <a:solidFill>
                        <a:srgbClr val="BFDABA"/>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8B14B" id="Rectangle 12" o:spid="_x0000_s1026" style="position:absolute;margin-left:9.35pt;margin-top:547.2pt;width:822.95pt;height: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" fillcolor="#bfdaba" stroked="f">
              <v:stroke joinstyle="round"/>
              <w10:wrap anchorx="page" anchory="page"/>
              <w10:anchorlock/>
            </v:rect>
          </w:pict>
        </mc:Fallback>
      </mc:AlternateContent>
    </w:r>
    <w:r w:rsidR="00FB308E">
      <w:tab/>
    </w:r>
    <w:r w:rsidRPr="00FB308E">
      <w:rPr>
        <w:rFonts w:eastAsia="ヒラギノ角ゴ Pro W3"/>
      </w:rPr>
      <w:tab/>
    </w:r>
    <w:r w:rsidRPr="00FB308E">
      <w:rPr>
        <w:rFonts w:eastAsia="ヒラギノ角ゴ Pro W3"/>
      </w:rPr>
      <w:fldChar w:fldCharType="begin"/>
    </w:r>
    <w:r w:rsidRPr="00FB308E">
      <w:rPr>
        <w:rFonts w:eastAsia="ヒラギノ角ゴ Pro W3"/>
      </w:rPr>
      <w:instrText xml:space="preserve"> PAGE   \* MERGEFORMAT </w:instrText>
    </w:r>
    <w:r w:rsidRPr="00FB308E">
      <w:rPr>
        <w:rFonts w:eastAsia="ヒラギノ角ゴ Pro W3"/>
      </w:rPr>
      <w:fldChar w:fldCharType="separate"/>
    </w:r>
    <w:r w:rsidR="00EE20FA">
      <w:rPr>
        <w:rFonts w:eastAsia="ヒラギノ角ゴ Pro W3"/>
        <w:noProof/>
      </w:rPr>
      <w:t>1</w:t>
    </w:r>
    <w:r w:rsidRPr="00FB308E">
      <w:rPr>
        <w:rFonts w:eastAsia="ヒラギノ角ゴ Pro W3"/>
      </w:rPr>
      <w:fldChar w:fldCharType="end"/>
    </w:r>
    <w:r w:rsidRPr="00FB308E">
      <w:rPr>
        <w:rFonts w:eastAsia="ヒラギノ角ゴ Pro W3"/>
      </w:rPr>
      <w:t>/</w:t>
    </w:r>
    <w:r w:rsidRPr="00FB308E">
      <w:rPr>
        <w:rFonts w:eastAsia="ヒラギノ角ゴ Pro W3"/>
      </w:rPr>
      <w:fldChar w:fldCharType="begin"/>
    </w:r>
    <w:r w:rsidRPr="00FB308E">
      <w:rPr>
        <w:rFonts w:eastAsia="ヒラギノ角ゴ Pro W3"/>
      </w:rPr>
      <w:instrText xml:space="preserve"> NUMPAGES  \* Arabic  \* MERGEFORMAT </w:instrText>
    </w:r>
    <w:r w:rsidRPr="00FB308E">
      <w:rPr>
        <w:rFonts w:eastAsia="ヒラギノ角ゴ Pro W3"/>
      </w:rPr>
      <w:fldChar w:fldCharType="separate"/>
    </w:r>
    <w:r w:rsidR="00EE20FA">
      <w:rPr>
        <w:rFonts w:eastAsia="ヒラギノ角ゴ Pro W3"/>
        <w:noProof/>
      </w:rPr>
      <w:t>3</w:t>
    </w:r>
    <w:r w:rsidRPr="00FB308E">
      <w:rPr>
        <w:rFonts w:eastAsia="ヒラギノ角ゴ Pro W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F8B" w:rsidRPr="00A01A2E" w:rsidRDefault="00A01A2E" w:rsidP="008F27D9">
    <w:pPr>
      <w:pStyle w:val="Footer"/>
      <w:jc w:val="right"/>
      <w:rPr>
        <w:rStyle w:val="PageNumber"/>
        <w:rFonts w:asciiTheme="majorHAnsi" w:eastAsia="ヒラギノ角ゴ Pro W3" w:hAnsiTheme="majorHAnsi"/>
        <w:caps w:val="0"/>
        <w:color w:val="000000" w:themeColor="text1"/>
        <w:sz w:val="18"/>
      </w:rPr>
    </w:pPr>
    <w:r w:rsidRPr="004E58CB">
      <w:rPr>
        <w:noProof/>
      </w:rPr>
      <mc:AlternateContent>
        <mc:Choice Requires="wps">
          <w:drawing>
            <wp:anchor distT="0" distB="0" distL="114300" distR="114300" simplePos="0" relativeHeight="251659264" behindDoc="1" locked="1" layoutInCell="1" allowOverlap="1" wp14:anchorId="0AE6F50E" wp14:editId="5953D80D">
              <wp:simplePos x="0" y="0"/>
              <wp:positionH relativeFrom="page">
                <wp:posOffset>118745</wp:posOffset>
              </wp:positionH>
              <wp:positionV relativeFrom="bottomMargin">
                <wp:posOffset>979170</wp:posOffset>
              </wp:positionV>
              <wp:extent cx="7543800" cy="457200"/>
              <wp:effectExtent l="0" t="0" r="0" b="0"/>
              <wp:wrapNone/>
              <wp:docPr id="8" name="Rectangle 8"/>
              <wp:cNvGraphicFramePr/>
              <a:graphic xmlns:a="http://schemas.openxmlformats.org/drawingml/2006/main">
                <a:graphicData uri="http://schemas.microsoft.com/office/word/2010/wordprocessingShape">
                  <wps:wsp>
                    <wps:cNvSpPr/>
                    <wps:spPr bwMode="auto">
                      <a:xfrm>
                        <a:off x="0" y="0"/>
                        <a:ext cx="7543800" cy="457200"/>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96F46" id="Rectangle 8" o:spid="_x0000_s1026" style="position:absolute;margin-left:9.35pt;margin-top:77.1pt;width:594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" fillcolor="#7aaa6c [3214]" stroked="f">
              <v:stroke joinstyle="round"/>
              <w10:wrap anchorx="page" anchory="margin"/>
              <w10:anchorlock/>
            </v:rect>
          </w:pict>
        </mc:Fallback>
      </mc:AlternateContent>
    </w:r>
    <w:r w:rsidRPr="00A01A2E">
      <w:rPr>
        <w:rStyle w:val="PageNumber"/>
        <w:rFonts w:eastAsia="ヒラギノ角ゴ Pro W3"/>
      </w:rPr>
      <w:fldChar w:fldCharType="begin"/>
    </w:r>
    <w:r w:rsidRPr="00A01A2E">
      <w:rPr>
        <w:rStyle w:val="PageNumber"/>
        <w:rFonts w:eastAsia="ヒラギノ角ゴ Pro W3"/>
      </w:rPr>
      <w:instrText xml:space="preserve"> PAGE   \* MERGEFORMAT </w:instrText>
    </w:r>
    <w:r w:rsidRPr="00A01A2E">
      <w:rPr>
        <w:rStyle w:val="PageNumber"/>
        <w:rFonts w:eastAsia="ヒラギノ角ゴ Pro W3"/>
      </w:rPr>
      <w:fldChar w:fldCharType="separate"/>
    </w:r>
    <w:r w:rsidR="00F334F4">
      <w:rPr>
        <w:rStyle w:val="PageNumber"/>
        <w:rFonts w:eastAsia="ヒラギノ角ゴ Pro W3"/>
        <w:noProof/>
      </w:rPr>
      <w:t>1</w:t>
    </w:r>
    <w:r w:rsidRPr="00A01A2E">
      <w:rPr>
        <w:rStyle w:val="PageNumber"/>
        <w:rFonts w:eastAsia="ヒラギノ角ゴ Pro W3"/>
        <w:noProof/>
      </w:rPr>
      <w:fldChar w:fldCharType="end"/>
    </w:r>
    <w:r>
      <w:rPr>
        <w:rStyle w:val="PageNumber"/>
        <w:rFonts w:eastAsia="ヒラギノ角ゴ Pro W3"/>
      </w:rPr>
      <w:t>/</w:t>
    </w:r>
    <w:r>
      <w:rPr>
        <w:rStyle w:val="PageNumber"/>
        <w:rFonts w:eastAsia="ヒラギノ角ゴ Pro W3"/>
      </w:rPr>
      <w:fldChar w:fldCharType="begin"/>
    </w:r>
    <w:r>
      <w:rPr>
        <w:rStyle w:val="PageNumber"/>
        <w:rFonts w:eastAsia="ヒラギノ角ゴ Pro W3"/>
      </w:rPr>
      <w:instrText xml:space="preserve"> NUMPAGES  \* Arabic  \* MERGEFORMAT </w:instrText>
    </w:r>
    <w:r>
      <w:rPr>
        <w:rStyle w:val="PageNumber"/>
        <w:rFonts w:eastAsia="ヒラギノ角ゴ Pro W3"/>
      </w:rPr>
      <w:fldChar w:fldCharType="separate"/>
    </w:r>
    <w:r w:rsidR="001648F0">
      <w:rPr>
        <w:rStyle w:val="PageNumber"/>
        <w:rFonts w:eastAsia="ヒラギノ角ゴ Pro W3"/>
        <w:noProof/>
      </w:rPr>
      <w:t>1</w:t>
    </w:r>
    <w:r>
      <w:rPr>
        <w:rStyle w:val="PageNumber"/>
        <w:rFonts w:eastAsia="ヒラギノ角ゴ Pro W3"/>
      </w:rPr>
      <w:fldChar w:fldCharType="end"/>
    </w:r>
    <w:r w:rsidR="008F27D9" w:rsidRPr="004E58CB">
      <w:rPr>
        <w:noProof/>
      </w:rPr>
      <mc:AlternateContent>
        <mc:Choice Requires="wps">
          <w:drawing>
            <wp:anchor distT="0" distB="0" distL="114300" distR="114300" simplePos="0" relativeHeight="251667456" behindDoc="1" locked="1" layoutInCell="1" allowOverlap="1" wp14:anchorId="54562BA1" wp14:editId="08D49BCE">
              <wp:simplePos x="0" y="0"/>
              <wp:positionH relativeFrom="page">
                <wp:posOffset>114300</wp:posOffset>
              </wp:positionH>
              <wp:positionV relativeFrom="bottomMargin">
                <wp:posOffset>55245</wp:posOffset>
              </wp:positionV>
              <wp:extent cx="9829800" cy="457200"/>
              <wp:effectExtent l="0" t="0" r="0" b="0"/>
              <wp:wrapNone/>
              <wp:docPr id="1" name="Rectangle 1"/>
              <wp:cNvGraphicFramePr/>
              <a:graphic xmlns:a="http://schemas.openxmlformats.org/drawingml/2006/main">
                <a:graphicData uri="http://schemas.microsoft.com/office/word/2010/wordprocessingShape">
                  <wps:wsp>
                    <wps:cNvSpPr/>
                    <wps:spPr bwMode="auto">
                      <a:xfrm>
                        <a:off x="0" y="0"/>
                        <a:ext cx="9829800" cy="457200"/>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D6077" id="Rectangle 1" o:spid="_x0000_s1026" style="position:absolute;margin-left:9pt;margin-top:4.35pt;width:774pt;height:3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" fillcolor="#7aaa6c [3214]" stroked="f">
              <v:stroke joinstyle="round"/>
              <w10:wrap anchorx="page" anchory="margin"/>
              <w10:anchorlock/>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1F" w:rsidRDefault="00FB24E4" w:rsidP="00FB24E4">
    <w:pPr>
      <w:pStyle w:val="Footer"/>
      <w:rPr>
        <w:rFonts w:ascii="Arial" w:hAnsi="Arial" w:cs="Arial"/>
        <w:color w:val="000000"/>
      </w:rPr>
    </w:pPr>
    <w:bookmarkStart w:id="2" w:name="SSCStd2FooterEvenPages"/>
    <w:r w:rsidRPr="00FB24E4">
      <w:rPr>
        <w:rFonts w:ascii="Arial" w:hAnsi="Arial" w:cs="Arial"/>
        <w:color w:val="000000"/>
      </w:rPr>
      <w:t>Information Classification: General</w:t>
    </w:r>
  </w:p>
  <w:bookmarkEnd w:id="2"/>
  <w:p w:rsidR="00FB24E4" w:rsidRDefault="00FB24E4" w:rsidP="008F27D9">
    <w:pPr>
      <w:pStyle w:val="Footer"/>
    </w:pPr>
  </w:p>
  <w:p w:rsidR="00A50610" w:rsidRPr="008F27D9" w:rsidRDefault="00A50610" w:rsidP="008F27D9">
    <w:pPr>
      <w:pStyle w:val="Footer"/>
      <w:rPr>
        <w:rStyle w:val="PageNumber"/>
        <w:rFonts w:asciiTheme="majorHAnsi" w:eastAsia="ヒラギノ角ゴ Pro W3" w:hAnsiTheme="majorHAnsi"/>
        <w:caps w:val="0"/>
        <w:color w:val="000000" w:themeColor="text1"/>
        <w:sz w:val="18"/>
      </w:rPr>
    </w:pPr>
    <w:r w:rsidRPr="008F27D9">
      <w:t>State Street Global Advisors</w:t>
    </w:r>
    <w:r w:rsidRPr="008F27D9">
      <w:rPr>
        <w:noProof/>
      </w:rPr>
      <mc:AlternateContent>
        <mc:Choice Requires="wps">
          <w:drawing>
            <wp:anchor distT="0" distB="0" distL="114300" distR="114300" simplePos="0" relativeHeight="251674112" behindDoc="1" locked="1" layoutInCell="1" allowOverlap="1" wp14:anchorId="3D712A75" wp14:editId="3976956F">
              <wp:simplePos x="0" y="0"/>
              <wp:positionH relativeFrom="page">
                <wp:posOffset>118745</wp:posOffset>
              </wp:positionH>
              <wp:positionV relativeFrom="page">
                <wp:posOffset>6949440</wp:posOffset>
              </wp:positionV>
              <wp:extent cx="10451592" cy="457200"/>
              <wp:effectExtent l="0" t="0" r="6985" b="0"/>
              <wp:wrapNone/>
              <wp:docPr id="7" name="Rectangle 7"/>
              <wp:cNvGraphicFramePr/>
              <a:graphic xmlns:a="http://schemas.openxmlformats.org/drawingml/2006/main">
                <a:graphicData uri="http://schemas.microsoft.com/office/word/2010/wordprocessingShape">
                  <wps:wsp>
                    <wps:cNvSpPr/>
                    <wps:spPr bwMode="auto">
                      <a:xfrm>
                        <a:off x="0" y="0"/>
                        <a:ext cx="10451592" cy="457200"/>
                      </a:xfrm>
                      <a:prstGeom prst="rect">
                        <a:avLst/>
                      </a:prstGeom>
                      <a:solidFill>
                        <a:srgbClr val="BFDABA"/>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F1046" id="Rectangle 7" o:spid="_x0000_s1026" style="position:absolute;margin-left:9.35pt;margin-top:547.2pt;width:822.95pt;height:36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" fillcolor="#bfdaba" stroked="f">
              <v:stroke joinstyle="round"/>
              <w10:wrap anchorx="page" anchory="page"/>
              <w10:anchorlock/>
            </v:rect>
          </w:pict>
        </mc:Fallback>
      </mc:AlternateContent>
    </w:r>
    <w:r>
      <w:tab/>
    </w:r>
    <w:r w:rsidRPr="00FB308E">
      <w:rPr>
        <w:rFonts w:eastAsia="ヒラギノ角ゴ Pro W3"/>
      </w:rPr>
      <w:tab/>
    </w:r>
    <w:r w:rsidRPr="00FB308E">
      <w:rPr>
        <w:rFonts w:eastAsia="ヒラギノ角ゴ Pro W3"/>
      </w:rPr>
      <w:fldChar w:fldCharType="begin"/>
    </w:r>
    <w:r w:rsidRPr="00FB308E">
      <w:rPr>
        <w:rFonts w:eastAsia="ヒラギノ角ゴ Pro W3"/>
      </w:rPr>
      <w:instrText xml:space="preserve"> PAGE   \* MERGEFORMAT </w:instrText>
    </w:r>
    <w:r w:rsidRPr="00FB308E">
      <w:rPr>
        <w:rFonts w:eastAsia="ヒラギノ角ゴ Pro W3"/>
      </w:rPr>
      <w:fldChar w:fldCharType="separate"/>
    </w:r>
    <w:r w:rsidR="00EE20FA">
      <w:rPr>
        <w:rFonts w:eastAsia="ヒラギノ角ゴ Pro W3"/>
        <w:noProof/>
      </w:rPr>
      <w:t>4</w:t>
    </w:r>
    <w:r w:rsidRPr="00FB308E">
      <w:rPr>
        <w:rFonts w:eastAsia="ヒラギノ角ゴ Pro W3"/>
      </w:rPr>
      <w:fldChar w:fldCharType="end"/>
    </w:r>
    <w:r w:rsidRPr="00FB308E">
      <w:rPr>
        <w:rFonts w:eastAsia="ヒラギノ角ゴ Pro W3"/>
      </w:rPr>
      <w:t>/</w:t>
    </w:r>
    <w:r w:rsidRPr="00FB308E">
      <w:rPr>
        <w:rFonts w:eastAsia="ヒラギノ角ゴ Pro W3"/>
      </w:rPr>
      <w:fldChar w:fldCharType="begin"/>
    </w:r>
    <w:r w:rsidRPr="00FB308E">
      <w:rPr>
        <w:rFonts w:eastAsia="ヒラギノ角ゴ Pro W3"/>
      </w:rPr>
      <w:instrText xml:space="preserve"> NUMPAGES  \* Arabic  \* MERGEFORMAT </w:instrText>
    </w:r>
    <w:r w:rsidRPr="00FB308E">
      <w:rPr>
        <w:rFonts w:eastAsia="ヒラギノ角ゴ Pro W3"/>
      </w:rPr>
      <w:fldChar w:fldCharType="separate"/>
    </w:r>
    <w:r w:rsidR="00EE20FA">
      <w:rPr>
        <w:rFonts w:eastAsia="ヒラギノ角ゴ Pro W3"/>
        <w:noProof/>
      </w:rPr>
      <w:t>4</w:t>
    </w:r>
    <w:r w:rsidRPr="00FB308E">
      <w:rPr>
        <w:rFonts w:eastAsia="ヒラギノ角ゴ Pro W3"/>
      </w:rPr>
      <w:fldChar w:fldCharType="end"/>
    </w:r>
  </w:p>
  <w:p w:rsidR="00A50610" w:rsidRDefault="00A5061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E4" w:rsidRDefault="00FB24E4" w:rsidP="00FB24E4">
    <w:pPr>
      <w:pStyle w:val="Footer"/>
      <w:rPr>
        <w:rFonts w:ascii="Arial" w:hAnsi="Arial" w:cs="Arial"/>
        <w:color w:val="000000"/>
      </w:rPr>
    </w:pPr>
    <w:bookmarkStart w:id="3" w:name="SSCStd2FooterPrimary"/>
    <w:r w:rsidRPr="00FB24E4">
      <w:rPr>
        <w:rFonts w:ascii="Arial" w:hAnsi="Arial" w:cs="Arial"/>
        <w:color w:val="000000"/>
      </w:rPr>
      <w:t>Information Classification: General</w:t>
    </w:r>
  </w:p>
  <w:bookmarkEnd w:id="3"/>
  <w:p w:rsidR="00917562" w:rsidRPr="008F27D9" w:rsidRDefault="00917562" w:rsidP="008F27D9">
    <w:pPr>
      <w:pStyle w:val="Footer"/>
      <w:rPr>
        <w:rStyle w:val="PageNumber"/>
        <w:rFonts w:asciiTheme="majorHAnsi" w:eastAsia="ヒラギノ角ゴ Pro W3" w:hAnsiTheme="majorHAnsi"/>
        <w:caps w:val="0"/>
        <w:color w:val="000000" w:themeColor="text1"/>
        <w:sz w:val="18"/>
      </w:rPr>
    </w:pPr>
    <w:r w:rsidRPr="008F27D9">
      <w:t>State Street Global Advisors</w:t>
    </w:r>
    <w:r w:rsidRPr="008F27D9">
      <w:rPr>
        <w:noProof/>
      </w:rPr>
      <mc:AlternateContent>
        <mc:Choice Requires="wps">
          <w:drawing>
            <wp:anchor distT="0" distB="0" distL="114300" distR="114300" simplePos="0" relativeHeight="251670016" behindDoc="1" locked="1" layoutInCell="1" allowOverlap="1" wp14:anchorId="73949BB0" wp14:editId="27259764">
              <wp:simplePos x="0" y="0"/>
              <wp:positionH relativeFrom="page">
                <wp:posOffset>118745</wp:posOffset>
              </wp:positionH>
              <wp:positionV relativeFrom="page">
                <wp:posOffset>6949440</wp:posOffset>
              </wp:positionV>
              <wp:extent cx="10451592" cy="457200"/>
              <wp:effectExtent l="0" t="0" r="6985" b="0"/>
              <wp:wrapNone/>
              <wp:docPr id="4" name="Rectangle 4"/>
              <wp:cNvGraphicFramePr/>
              <a:graphic xmlns:a="http://schemas.openxmlformats.org/drawingml/2006/main">
                <a:graphicData uri="http://schemas.microsoft.com/office/word/2010/wordprocessingShape">
                  <wps:wsp>
                    <wps:cNvSpPr/>
                    <wps:spPr bwMode="auto">
                      <a:xfrm>
                        <a:off x="0" y="0"/>
                        <a:ext cx="10451592" cy="457200"/>
                      </a:xfrm>
                      <a:prstGeom prst="rect">
                        <a:avLst/>
                      </a:prstGeom>
                      <a:solidFill>
                        <a:srgbClr val="BFDABA"/>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A7A92" id="Rectangle 4" o:spid="_x0000_s1026" style="position:absolute;margin-left:9.35pt;margin-top:547.2pt;width:822.95pt;height:36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" fillcolor="#bfdaba" stroked="f">
              <v:stroke joinstyle="round"/>
              <w10:wrap anchorx="page" anchory="page"/>
              <w10:anchorlock/>
            </v:rect>
          </w:pict>
        </mc:Fallback>
      </mc:AlternateContent>
    </w:r>
    <w:r>
      <w:tab/>
    </w:r>
    <w:sdt>
      <w:sdtPr>
        <w:alias w:val="dist_level"/>
        <w:tag w:val="dist_level"/>
        <w:id w:val="1798334503"/>
        <w:placeholder>
          <w:docPart w:val="31D242B2DD81481DBEE9EF43336194E6"/>
        </w:placeholder>
        <w:dataBinding w:xpath="/root[1]/dist_level[1]" w:storeItemID="{D2DCB782-FC6F-44A4-985A-7D7D2EA0703E}"/>
        <w:text/>
      </w:sdtPr>
      <w:sdtEndPr/>
      <w:sdtContent>
        <w:r w:rsidR="00B25D1B">
          <w:t>ssga.com</w:t>
        </w:r>
      </w:sdtContent>
    </w:sdt>
    <w:r w:rsidRPr="00FB308E">
      <w:rPr>
        <w:rFonts w:eastAsia="ヒラギノ角ゴ Pro W3"/>
      </w:rPr>
      <w:tab/>
    </w:r>
    <w:r w:rsidRPr="00FB308E">
      <w:rPr>
        <w:rFonts w:eastAsia="ヒラギノ角ゴ Pro W3"/>
      </w:rPr>
      <w:fldChar w:fldCharType="begin"/>
    </w:r>
    <w:r w:rsidRPr="00FB308E">
      <w:rPr>
        <w:rFonts w:eastAsia="ヒラギノ角ゴ Pro W3"/>
      </w:rPr>
      <w:instrText xml:space="preserve"> PAGE   \* MERGEFORMAT </w:instrText>
    </w:r>
    <w:r w:rsidRPr="00FB308E">
      <w:rPr>
        <w:rFonts w:eastAsia="ヒラギノ角ゴ Pro W3"/>
      </w:rPr>
      <w:fldChar w:fldCharType="separate"/>
    </w:r>
    <w:r w:rsidR="00EE20FA">
      <w:rPr>
        <w:rFonts w:eastAsia="ヒラギノ角ゴ Pro W3"/>
        <w:noProof/>
      </w:rPr>
      <w:t>3</w:t>
    </w:r>
    <w:r w:rsidRPr="00FB308E">
      <w:rPr>
        <w:rFonts w:eastAsia="ヒラギノ角ゴ Pro W3"/>
      </w:rPr>
      <w:fldChar w:fldCharType="end"/>
    </w:r>
    <w:r w:rsidRPr="00FB308E">
      <w:rPr>
        <w:rFonts w:eastAsia="ヒラギノ角ゴ Pro W3"/>
      </w:rPr>
      <w:t>/</w:t>
    </w:r>
    <w:r w:rsidRPr="00FB308E">
      <w:rPr>
        <w:rFonts w:eastAsia="ヒラギノ角ゴ Pro W3"/>
      </w:rPr>
      <w:fldChar w:fldCharType="begin"/>
    </w:r>
    <w:r w:rsidRPr="00FB308E">
      <w:rPr>
        <w:rFonts w:eastAsia="ヒラギノ角ゴ Pro W3"/>
      </w:rPr>
      <w:instrText xml:space="preserve"> NUMPAGES  \* Arabic  \* MERGEFORMAT </w:instrText>
    </w:r>
    <w:r w:rsidRPr="00FB308E">
      <w:rPr>
        <w:rFonts w:eastAsia="ヒラギノ角ゴ Pro W3"/>
      </w:rPr>
      <w:fldChar w:fldCharType="separate"/>
    </w:r>
    <w:r w:rsidR="00EE20FA">
      <w:rPr>
        <w:rFonts w:eastAsia="ヒラギノ角ゴ Pro W3"/>
        <w:noProof/>
      </w:rPr>
      <w:t>3</w:t>
    </w:r>
    <w:r w:rsidRPr="00FB308E">
      <w:rPr>
        <w:rFonts w:eastAsia="ヒラギノ角ゴ Pro W3"/>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98B" w:rsidRPr="00A01A2E" w:rsidRDefault="007A798B" w:rsidP="008F27D9">
    <w:pPr>
      <w:pStyle w:val="Footer"/>
      <w:jc w:val="right"/>
      <w:rPr>
        <w:rStyle w:val="PageNumber"/>
        <w:rFonts w:asciiTheme="majorHAnsi" w:eastAsia="ヒラギノ角ゴ Pro W3" w:hAnsiTheme="majorHAnsi"/>
        <w:caps w:val="0"/>
        <w:color w:val="000000" w:themeColor="text1"/>
        <w:sz w:val="18"/>
      </w:rPr>
    </w:pPr>
    <w:r w:rsidRPr="004E58CB">
      <w:rPr>
        <w:noProof/>
      </w:rPr>
      <mc:AlternateContent>
        <mc:Choice Requires="wps">
          <w:drawing>
            <wp:anchor distT="0" distB="0" distL="114300" distR="114300" simplePos="0" relativeHeight="251679232" behindDoc="1" locked="1" layoutInCell="1" allowOverlap="1" wp14:anchorId="119316A8" wp14:editId="52D8EC71">
              <wp:simplePos x="0" y="0"/>
              <wp:positionH relativeFrom="page">
                <wp:posOffset>118745</wp:posOffset>
              </wp:positionH>
              <wp:positionV relativeFrom="bottomMargin">
                <wp:posOffset>979170</wp:posOffset>
              </wp:positionV>
              <wp:extent cx="7543800" cy="457200"/>
              <wp:effectExtent l="0" t="0" r="0" b="0"/>
              <wp:wrapNone/>
              <wp:docPr id="13" name="Rectangle 13"/>
              <wp:cNvGraphicFramePr/>
              <a:graphic xmlns:a="http://schemas.openxmlformats.org/drawingml/2006/main">
                <a:graphicData uri="http://schemas.microsoft.com/office/word/2010/wordprocessingShape">
                  <wps:wsp>
                    <wps:cNvSpPr/>
                    <wps:spPr bwMode="auto">
                      <a:xfrm>
                        <a:off x="0" y="0"/>
                        <a:ext cx="7543800" cy="457200"/>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FB279" id="Rectangle 13" o:spid="_x0000_s1026" style="position:absolute;margin-left:9.35pt;margin-top:77.1pt;width:594pt;height:36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" fillcolor="#7aaa6c [3214]" stroked="f">
              <v:stroke joinstyle="round"/>
              <w10:wrap anchorx="page" anchory="margin"/>
              <w10:anchorlock/>
            </v:rect>
          </w:pict>
        </mc:Fallback>
      </mc:AlternateContent>
    </w:r>
    <w:r w:rsidRPr="00A01A2E">
      <w:rPr>
        <w:rStyle w:val="PageNumber"/>
        <w:rFonts w:eastAsia="ヒラギノ角ゴ Pro W3"/>
      </w:rPr>
      <w:fldChar w:fldCharType="begin"/>
    </w:r>
    <w:r w:rsidRPr="00A01A2E">
      <w:rPr>
        <w:rStyle w:val="PageNumber"/>
        <w:rFonts w:eastAsia="ヒラギノ角ゴ Pro W3"/>
      </w:rPr>
      <w:instrText xml:space="preserve"> PAGE   \* MERGEFORMAT </w:instrText>
    </w:r>
    <w:r w:rsidRPr="00A01A2E">
      <w:rPr>
        <w:rStyle w:val="PageNumber"/>
        <w:rFonts w:eastAsia="ヒラギノ角ゴ Pro W3"/>
      </w:rPr>
      <w:fldChar w:fldCharType="separate"/>
    </w:r>
    <w:r>
      <w:rPr>
        <w:rStyle w:val="PageNumber"/>
        <w:rFonts w:eastAsia="ヒラギノ角ゴ Pro W3"/>
        <w:noProof/>
      </w:rPr>
      <w:t>1</w:t>
    </w:r>
    <w:r w:rsidRPr="00A01A2E">
      <w:rPr>
        <w:rStyle w:val="PageNumber"/>
        <w:rFonts w:eastAsia="ヒラギノ角ゴ Pro W3"/>
        <w:noProof/>
      </w:rPr>
      <w:fldChar w:fldCharType="end"/>
    </w:r>
    <w:r>
      <w:rPr>
        <w:rStyle w:val="PageNumber"/>
        <w:rFonts w:eastAsia="ヒラギノ角ゴ Pro W3"/>
      </w:rPr>
      <w:t>/</w:t>
    </w:r>
    <w:r>
      <w:rPr>
        <w:rStyle w:val="PageNumber"/>
        <w:rFonts w:eastAsia="ヒラギノ角ゴ Pro W3"/>
      </w:rPr>
      <w:fldChar w:fldCharType="begin"/>
    </w:r>
    <w:r>
      <w:rPr>
        <w:rStyle w:val="PageNumber"/>
        <w:rFonts w:eastAsia="ヒラギノ角ゴ Pro W3"/>
      </w:rPr>
      <w:instrText xml:space="preserve"> NUMPAGES  \* Arabic  \* MERGEFORMAT </w:instrText>
    </w:r>
    <w:r>
      <w:rPr>
        <w:rStyle w:val="PageNumber"/>
        <w:rFonts w:eastAsia="ヒラギノ角ゴ Pro W3"/>
      </w:rPr>
      <w:fldChar w:fldCharType="separate"/>
    </w:r>
    <w:r>
      <w:rPr>
        <w:rStyle w:val="PageNumber"/>
        <w:rFonts w:eastAsia="ヒラギノ角ゴ Pro W3"/>
        <w:noProof/>
      </w:rPr>
      <w:t>1</w:t>
    </w:r>
    <w:r>
      <w:rPr>
        <w:rStyle w:val="PageNumber"/>
        <w:rFonts w:eastAsia="ヒラギノ角ゴ Pro W3"/>
      </w:rPr>
      <w:fldChar w:fldCharType="end"/>
    </w:r>
    <w:r w:rsidRPr="004E58CB">
      <w:rPr>
        <w:noProof/>
      </w:rPr>
      <mc:AlternateContent>
        <mc:Choice Requires="wps">
          <w:drawing>
            <wp:anchor distT="0" distB="0" distL="114300" distR="114300" simplePos="0" relativeHeight="251680256" behindDoc="1" locked="1" layoutInCell="1" allowOverlap="1" wp14:anchorId="66F39AD7" wp14:editId="2A882A9C">
              <wp:simplePos x="0" y="0"/>
              <wp:positionH relativeFrom="page">
                <wp:posOffset>114300</wp:posOffset>
              </wp:positionH>
              <wp:positionV relativeFrom="bottomMargin">
                <wp:posOffset>55245</wp:posOffset>
              </wp:positionV>
              <wp:extent cx="9829800" cy="457200"/>
              <wp:effectExtent l="0" t="0" r="0" b="0"/>
              <wp:wrapNone/>
              <wp:docPr id="14" name="Rectangle 14"/>
              <wp:cNvGraphicFramePr/>
              <a:graphic xmlns:a="http://schemas.openxmlformats.org/drawingml/2006/main">
                <a:graphicData uri="http://schemas.microsoft.com/office/word/2010/wordprocessingShape">
                  <wps:wsp>
                    <wps:cNvSpPr/>
                    <wps:spPr bwMode="auto">
                      <a:xfrm>
                        <a:off x="0" y="0"/>
                        <a:ext cx="9829800" cy="457200"/>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8BC02" id="Rectangle 14" o:spid="_x0000_s1026" style="position:absolute;margin-left:9pt;margin-top:4.35pt;width:774pt;height:36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" fillcolor="#7aaa6c [3214]" stroked="f">
              <v:stroke joinstyle="round"/>
              <w10:wrap anchorx="page" anchory="margin"/>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C40" w:rsidRPr="00C95E42" w:rsidRDefault="00650C40" w:rsidP="004421AC">
      <w:pPr>
        <w:pStyle w:val="FootnoteSeparator"/>
      </w:pPr>
    </w:p>
  </w:footnote>
  <w:footnote w:type="continuationSeparator" w:id="0">
    <w:p w:rsidR="00650C40" w:rsidRPr="00C95E42" w:rsidRDefault="00650C40" w:rsidP="00C95E42">
      <w:pPr>
        <w:pStyle w:val="Footer"/>
      </w:pPr>
    </w:p>
  </w:footnote>
  <w:footnote w:type="continuationNotice" w:id="1">
    <w:p w:rsidR="00650C40" w:rsidRDefault="00650C40">
      <w:pPr>
        <w:spacing w:before="0" w:after="0" w:line="240" w:lineRule="auto"/>
      </w:pPr>
    </w:p>
  </w:footnote>
  <w:footnote w:id="2">
    <w:p w:rsidR="00B2653E" w:rsidRPr="00816255" w:rsidRDefault="00B2653E" w:rsidP="00B2653E">
      <w:pPr>
        <w:pStyle w:val="FootnoteText"/>
        <w:rPr>
          <w:lang w:val="en-GB"/>
        </w:rPr>
      </w:pPr>
      <w:r>
        <w:rPr>
          <w:rStyle w:val="FootnoteReference"/>
        </w:rPr>
        <w:footnoteRef/>
      </w:r>
      <w:r>
        <w:t xml:space="preserve"> </w:t>
      </w:r>
      <w:r>
        <w:rPr>
          <w:rFonts w:ascii="UICTFontTextStyleBody" w:hAnsi="UICTFontTextStyleBody"/>
        </w:rPr>
        <w:t xml:space="preserve">In certain situations, SSGA used a commission rate that was not on that schedule due to the circumstances (nature, timing, market dynamics) of the trade - for example, in the case of secondary offerings, short settling and/or block trades. </w:t>
      </w:r>
    </w:p>
  </w:footnote>
  <w:footnote w:id="3">
    <w:p w:rsidR="00B2653E" w:rsidRPr="00816255" w:rsidRDefault="00B2653E" w:rsidP="00B2653E">
      <w:pPr>
        <w:pStyle w:val="FootnoteText"/>
        <w:rPr>
          <w:lang w:val="en-GB"/>
        </w:rPr>
      </w:pPr>
      <w:r>
        <w:rPr>
          <w:rStyle w:val="FootnoteReference"/>
        </w:rPr>
        <w:footnoteRef/>
      </w:r>
      <w:r>
        <w:t xml:space="preserve"> </w:t>
      </w:r>
      <w:r>
        <w:rPr>
          <w:rFonts w:ascii="UICTFontTextStyleBody" w:hAnsi="UICTFontTextStyleBody"/>
        </w:rPr>
        <w:t xml:space="preserve">In certain situations, SSGA used a commission rate that was not on that schedule due to the circumstances (nature, timing, market dynamics) of the trade - for example, in the case of secondary offerings, short settling and/or block trades. </w:t>
      </w:r>
    </w:p>
  </w:footnote>
  <w:footnote w:id="4">
    <w:p w:rsidR="00B2653E" w:rsidRPr="00816255" w:rsidRDefault="00B2653E" w:rsidP="00B2653E">
      <w:pPr>
        <w:pStyle w:val="FootnoteText"/>
        <w:rPr>
          <w:lang w:val="en-GB"/>
        </w:rPr>
      </w:pPr>
      <w:r>
        <w:rPr>
          <w:rStyle w:val="FootnoteReference"/>
        </w:rPr>
        <w:footnoteRef/>
      </w:r>
      <w:r>
        <w:t xml:space="preserve"> </w:t>
      </w:r>
      <w:r>
        <w:rPr>
          <w:rFonts w:ascii="UICTFontTextStyleBody" w:hAnsi="UICTFontTextStyleBody"/>
        </w:rPr>
        <w:t xml:space="preserve">In certain situations, SSGA used a commission rate that was not on that schedule due to the circumstances (nature, timing, market dynamics) of the trade - for example, in the case of secondary offerings, short settling and/or block trades. </w:t>
      </w:r>
    </w:p>
  </w:footnote>
  <w:footnote w:id="5">
    <w:p w:rsidR="00D540B6" w:rsidRPr="00816255" w:rsidRDefault="00D540B6" w:rsidP="00601777">
      <w:pPr>
        <w:pStyle w:val="FootnoteText"/>
        <w:rPr>
          <w:lang w:val="en-GB"/>
        </w:rPr>
      </w:pPr>
      <w:r>
        <w:rPr>
          <w:rStyle w:val="FootnoteReference"/>
        </w:rPr>
        <w:footnoteRef/>
      </w:r>
      <w:r>
        <w:t xml:space="preserve"> </w:t>
      </w:r>
      <w:r>
        <w:rPr>
          <w:rFonts w:ascii="UICTFontTextStyleBody" w:hAnsi="UICTFontTextStyleBody"/>
        </w:rPr>
        <w:t xml:space="preserve">In certain situations, SSGA used a commission rate that was not on that schedule due to the circumstances (nature, timing, market dynamics) of the trade - for example, in the case of secondary offerings, short settling and/or block trades. </w:t>
      </w:r>
    </w:p>
  </w:footnote>
  <w:footnote w:id="6">
    <w:p w:rsidR="00E7461F" w:rsidRPr="00E7461F" w:rsidRDefault="00E7461F" w:rsidP="00E7461F">
      <w:pPr>
        <w:pStyle w:val="FootnoteText"/>
      </w:pPr>
      <w:r>
        <w:rPr>
          <w:rStyle w:val="FootnoteReference"/>
        </w:rPr>
        <w:footnoteRef/>
      </w:r>
      <w:r>
        <w:t xml:space="preserve"> </w:t>
      </w:r>
      <w:r>
        <w:rPr>
          <w:rFonts w:ascii="UICTFontTextStyleBody" w:hAnsi="UICTFontTextStyleBody"/>
        </w:rPr>
        <w:t xml:space="preserve">In certain situations, SSGA may use a commission rate that is not on that schedule due to the circumstances (nature, timing, market dynamics) of the trade - for example, in the case of secondary offerings, short settling and/or block trades. </w:t>
      </w:r>
    </w:p>
  </w:footnote>
  <w:footnote w:id="7">
    <w:p w:rsidR="00B2653E" w:rsidRPr="00816255" w:rsidRDefault="00B2653E" w:rsidP="00B2653E">
      <w:pPr>
        <w:pStyle w:val="FootnoteText"/>
        <w:rPr>
          <w:lang w:val="en-GB"/>
        </w:rPr>
      </w:pPr>
      <w:r>
        <w:rPr>
          <w:rStyle w:val="FootnoteReference"/>
        </w:rPr>
        <w:footnoteRef/>
      </w:r>
      <w:r>
        <w:t xml:space="preserve"> </w:t>
      </w:r>
      <w:r>
        <w:rPr>
          <w:rFonts w:ascii="UICTFontTextStyleBody" w:hAnsi="UICTFontTextStyleBody"/>
        </w:rPr>
        <w:t xml:space="preserve">In certain situations, SSGA used a commission rate that was not on that schedule due to the circumstances (nature, timing, market dynamics) of the trade - for example, in the case of secondary offerings, short settling and/or block trades.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E4" w:rsidRDefault="00FB24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CE3" w:rsidRPr="00A01A2E" w:rsidRDefault="00F334F4" w:rsidP="008A43CA">
    <w:pPr>
      <w:pStyle w:val="HeaderFirst"/>
    </w:pPr>
    <w:r w:rsidRPr="00F334F4">
      <w:rPr>
        <w:noProof/>
      </w:rPr>
      <mc:AlternateContent>
        <mc:Choice Requires="wps">
          <w:drawing>
            <wp:anchor distT="0" distB="0" distL="114300" distR="114300" simplePos="0" relativeHeight="251663872" behindDoc="1" locked="1" layoutInCell="0" allowOverlap="1" wp14:anchorId="50625DB3" wp14:editId="68B175F0">
              <wp:simplePos x="0" y="0"/>
              <wp:positionH relativeFrom="page">
                <wp:posOffset>118745</wp:posOffset>
              </wp:positionH>
              <wp:positionV relativeFrom="page">
                <wp:posOffset>118745</wp:posOffset>
              </wp:positionV>
              <wp:extent cx="10451592" cy="1033272"/>
              <wp:effectExtent l="0" t="0" r="6985" b="0"/>
              <wp:wrapNone/>
              <wp:docPr id="3" name="Rectangle 3"/>
              <wp:cNvGraphicFramePr/>
              <a:graphic xmlns:a="http://schemas.openxmlformats.org/drawingml/2006/main">
                <a:graphicData uri="http://schemas.microsoft.com/office/word/2010/wordprocessingShape">
                  <wps:wsp>
                    <wps:cNvSpPr/>
                    <wps:spPr bwMode="auto">
                      <a:xfrm>
                        <a:off x="0" y="0"/>
                        <a:ext cx="10451592" cy="1033272"/>
                      </a:xfrm>
                      <a:prstGeom prst="rect">
                        <a:avLst/>
                      </a:prstGeom>
                      <a:solidFill>
                        <a:srgbClr val="BFDABA"/>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A3273" id="Rectangle 3" o:spid="_x0000_s1026" style="position:absolute;margin-left:9.35pt;margin-top:9.35pt;width:822.95pt;height:81.3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" o:allowincell="f" fillcolor="#bfdaba" stroked="f">
              <v:stroke joinstyle="round"/>
              <w10:wrap anchorx="page" anchory="page"/>
              <w10:anchorlock/>
            </v:rect>
          </w:pict>
        </mc:Fallback>
      </mc:AlternateContent>
    </w:r>
    <w:r w:rsidRPr="00F334F4">
      <w:rPr>
        <w:noProof/>
      </w:rPr>
      <w:drawing>
        <wp:anchor distT="0" distB="0" distL="114300" distR="114300" simplePos="0" relativeHeight="251667968" behindDoc="1" locked="1" layoutInCell="0" allowOverlap="1" wp14:anchorId="7B067730" wp14:editId="42176812">
          <wp:simplePos x="0" y="0"/>
          <wp:positionH relativeFrom="page">
            <wp:posOffset>347345</wp:posOffset>
          </wp:positionH>
          <wp:positionV relativeFrom="page">
            <wp:posOffset>347345</wp:posOffset>
          </wp:positionV>
          <wp:extent cx="1097280" cy="338328"/>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ga_black_print_r-01.png"/>
                  <pic:cNvPicPr/>
                </pic:nvPicPr>
                <pic:blipFill>
                  <a:blip r:embed="rId1">
                    <a:extLst>
                      <a:ext uri="{28A0092B-C50C-407E-A947-70E740481C1C}">
                        <a14:useLocalDpi xmlns:a14="http://schemas.microsoft.com/office/drawing/2010/main" val="0"/>
                      </a:ext>
                    </a:extLst>
                  </a:blip>
                  <a:stretch>
                    <a:fillRect/>
                  </a:stretch>
                </pic:blipFill>
                <pic:spPr>
                  <a:xfrm>
                    <a:off x="0" y="0"/>
                    <a:ext cx="1097280" cy="33832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F8B" w:rsidRPr="001371B9" w:rsidRDefault="00AD2F0E" w:rsidP="00F334F4">
    <w:pPr>
      <w:pStyle w:val="Header"/>
    </w:pPr>
    <w:r w:rsidRPr="004E58CB">
      <w:rPr>
        <w:noProof/>
      </w:rPr>
      <w:drawing>
        <wp:anchor distT="0" distB="0" distL="114300" distR="114300" simplePos="0" relativeHeight="251655168" behindDoc="1" locked="1" layoutInCell="0" allowOverlap="1" wp14:anchorId="5F7F5E6F" wp14:editId="3456AB15">
          <wp:simplePos x="0" y="0"/>
          <wp:positionH relativeFrom="page">
            <wp:posOffset>347345</wp:posOffset>
          </wp:positionH>
          <wp:positionV relativeFrom="page">
            <wp:posOffset>347345</wp:posOffset>
          </wp:positionV>
          <wp:extent cx="1098930" cy="338328"/>
          <wp:effectExtent l="0" t="0" r="635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ga_black_print_r-01.png"/>
                  <pic:cNvPicPr/>
                </pic:nvPicPr>
                <pic:blipFill>
                  <a:blip r:embed="rId1">
                    <a:extLst>
                      <a:ext uri="{28A0092B-C50C-407E-A947-70E740481C1C}">
                        <a14:useLocalDpi xmlns:a14="http://schemas.microsoft.com/office/drawing/2010/main" val="0"/>
                      </a:ext>
                    </a:extLst>
                  </a:blip>
                  <a:stretch>
                    <a:fillRect/>
                  </a:stretch>
                </pic:blipFill>
                <pic:spPr>
                  <a:xfrm>
                    <a:off x="0" y="0"/>
                    <a:ext cx="1098930" cy="338328"/>
                  </a:xfrm>
                  <a:prstGeom prst="rect">
                    <a:avLst/>
                  </a:prstGeom>
                </pic:spPr>
              </pic:pic>
            </a:graphicData>
          </a:graphic>
          <wp14:sizeRelV relativeFrom="margin">
            <wp14:pctHeight>0</wp14:pctHeight>
          </wp14:sizeRelV>
        </wp:anchor>
      </w:drawing>
    </w:r>
    <w:r w:rsidR="001874A2" w:rsidRPr="004E58CB">
      <w:rPr>
        <w:noProof/>
      </w:rPr>
      <mc:AlternateContent>
        <mc:Choice Requires="wps">
          <w:drawing>
            <wp:anchor distT="0" distB="0" distL="114300" distR="114300" simplePos="0" relativeHeight="251651072" behindDoc="1" locked="1" layoutInCell="1" allowOverlap="1" wp14:anchorId="7BEE1300" wp14:editId="775BE70D">
              <wp:simplePos x="0" y="0"/>
              <wp:positionH relativeFrom="page">
                <wp:posOffset>114300</wp:posOffset>
              </wp:positionH>
              <wp:positionV relativeFrom="page">
                <wp:posOffset>114300</wp:posOffset>
              </wp:positionV>
              <wp:extent cx="9829800" cy="1033145"/>
              <wp:effectExtent l="0" t="0" r="0" b="0"/>
              <wp:wrapNone/>
              <wp:docPr id="9" name="Rectangle 9"/>
              <wp:cNvGraphicFramePr/>
              <a:graphic xmlns:a="http://schemas.openxmlformats.org/drawingml/2006/main">
                <a:graphicData uri="http://schemas.microsoft.com/office/word/2010/wordprocessingShape">
                  <wps:wsp>
                    <wps:cNvSpPr/>
                    <wps:spPr bwMode="auto">
                      <a:xfrm>
                        <a:off x="0" y="0"/>
                        <a:ext cx="9829800" cy="1033145"/>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8DF2E" id="Rectangle 9" o:spid="_x0000_s1026" style="position:absolute;margin-left:9pt;margin-top:9pt;width:774pt;height:81.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" fillcolor="#7aaa6c [3214]" stroked="f">
              <v:stroke joinstyle="round"/>
              <w10:wrap anchorx="page" anchory="page"/>
              <w10:anchorlock/>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2031833052"/>
      <w:placeholder>
        <w:docPart w:val="0E55696078C14D8AA0518A0C15B51A3B"/>
      </w:placeholder>
      <w:dataBinding w:prefixMappings="xmlns:ns0='http://purl.org/dc/elements/1.1/' xmlns:ns1='http://schemas.openxmlformats.org/package/2006/metadata/core-properties' " w:xpath="/ns1:coreProperties[1]/ns0:title[1]" w:storeItemID="{6C3C8BC8-F283-45AE-878A-BAB7291924A1}"/>
      <w:text/>
    </w:sdtPr>
    <w:sdtEndPr/>
    <w:sdtContent>
      <w:p w:rsidR="00A50610" w:rsidRPr="00D64E48" w:rsidRDefault="0099384B" w:rsidP="008A43CA">
        <w:pPr>
          <w:pStyle w:val="HeaderRunning"/>
          <w:rPr>
            <w:sz w:val="20"/>
          </w:rPr>
        </w:pPr>
        <w:r>
          <w:rPr>
            <w:lang w:val="en-GB"/>
          </w:rPr>
          <w:t>State Street Global Advisors Ireland Limited (“SSGA”) Quality of Execution Assessment Report</w:t>
        </w:r>
      </w:p>
    </w:sdtContent>
  </w:sdt>
  <w:p w:rsidR="00A50610" w:rsidRPr="00A01A2E" w:rsidRDefault="00A50610" w:rsidP="008A43CA">
    <w:pPr>
      <w:pStyle w:val="Headersecond"/>
    </w:pPr>
  </w:p>
  <w:p w:rsidR="00A50610" w:rsidRDefault="00A5061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1441878575"/>
      <w:placeholder>
        <w:docPart w:val="6A8CDCF8E34249BD91A21EFEC7140E13"/>
      </w:placeholder>
      <w:dataBinding w:prefixMappings="xmlns:ns0='http://purl.org/dc/elements/1.1/' xmlns:ns1='http://schemas.openxmlformats.org/package/2006/metadata/core-properties' " w:xpath="/ns1:coreProperties[1]/ns0:title[1]" w:storeItemID="{6C3C8BC8-F283-45AE-878A-BAB7291924A1}"/>
      <w:text/>
    </w:sdtPr>
    <w:sdtEndPr/>
    <w:sdtContent>
      <w:p w:rsidR="008A43CA" w:rsidRPr="00D64E48" w:rsidRDefault="0099384B" w:rsidP="008A43CA">
        <w:pPr>
          <w:pStyle w:val="HeaderRunning"/>
          <w:rPr>
            <w:sz w:val="20"/>
          </w:rPr>
        </w:pPr>
        <w:r>
          <w:rPr>
            <w:lang w:val="en-GB"/>
          </w:rPr>
          <w:t>State Street Global Advisors Ireland Limited (“SSGA”) Quality of Execution Assessment Report</w:t>
        </w:r>
      </w:p>
    </w:sdtContent>
  </w:sdt>
  <w:p w:rsidR="008A43CA" w:rsidRPr="00A01A2E" w:rsidRDefault="008A43CA" w:rsidP="008A43CA">
    <w:pPr>
      <w:pStyle w:val="Headerseco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98B" w:rsidRPr="001371B9" w:rsidRDefault="007A798B" w:rsidP="00F334F4">
    <w:pPr>
      <w:pStyle w:val="Header"/>
    </w:pPr>
    <w:r w:rsidRPr="004E58CB">
      <w:rPr>
        <w:noProof/>
      </w:rPr>
      <w:drawing>
        <wp:anchor distT="0" distB="0" distL="114300" distR="114300" simplePos="0" relativeHeight="251677184" behindDoc="1" locked="1" layoutInCell="0" allowOverlap="1" wp14:anchorId="3C5583E3" wp14:editId="37B16665">
          <wp:simplePos x="0" y="0"/>
          <wp:positionH relativeFrom="page">
            <wp:posOffset>347345</wp:posOffset>
          </wp:positionH>
          <wp:positionV relativeFrom="page">
            <wp:posOffset>347345</wp:posOffset>
          </wp:positionV>
          <wp:extent cx="1098930" cy="338328"/>
          <wp:effectExtent l="0" t="0" r="635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ga_black_print_r-01.png"/>
                  <pic:cNvPicPr/>
                </pic:nvPicPr>
                <pic:blipFill>
                  <a:blip r:embed="rId1">
                    <a:extLst>
                      <a:ext uri="{28A0092B-C50C-407E-A947-70E740481C1C}">
                        <a14:useLocalDpi xmlns:a14="http://schemas.microsoft.com/office/drawing/2010/main" val="0"/>
                      </a:ext>
                    </a:extLst>
                  </a:blip>
                  <a:stretch>
                    <a:fillRect/>
                  </a:stretch>
                </pic:blipFill>
                <pic:spPr>
                  <a:xfrm>
                    <a:off x="0" y="0"/>
                    <a:ext cx="1098930" cy="338328"/>
                  </a:xfrm>
                  <a:prstGeom prst="rect">
                    <a:avLst/>
                  </a:prstGeom>
                </pic:spPr>
              </pic:pic>
            </a:graphicData>
          </a:graphic>
          <wp14:sizeRelV relativeFrom="margin">
            <wp14:pctHeight>0</wp14:pctHeight>
          </wp14:sizeRelV>
        </wp:anchor>
      </w:drawing>
    </w:r>
    <w:r w:rsidRPr="004E58CB">
      <w:rPr>
        <w:noProof/>
      </w:rPr>
      <mc:AlternateContent>
        <mc:Choice Requires="wps">
          <w:drawing>
            <wp:anchor distT="0" distB="0" distL="114300" distR="114300" simplePos="0" relativeHeight="251676160" behindDoc="1" locked="1" layoutInCell="1" allowOverlap="1" wp14:anchorId="2BB1FCBF" wp14:editId="6639ECDF">
              <wp:simplePos x="0" y="0"/>
              <wp:positionH relativeFrom="page">
                <wp:posOffset>114300</wp:posOffset>
              </wp:positionH>
              <wp:positionV relativeFrom="page">
                <wp:posOffset>114300</wp:posOffset>
              </wp:positionV>
              <wp:extent cx="9829800" cy="1033145"/>
              <wp:effectExtent l="0" t="0" r="0" b="0"/>
              <wp:wrapNone/>
              <wp:docPr id="10" name="Rectangle 10"/>
              <wp:cNvGraphicFramePr/>
              <a:graphic xmlns:a="http://schemas.openxmlformats.org/drawingml/2006/main">
                <a:graphicData uri="http://schemas.microsoft.com/office/word/2010/wordprocessingShape">
                  <wps:wsp>
                    <wps:cNvSpPr/>
                    <wps:spPr bwMode="auto">
                      <a:xfrm>
                        <a:off x="0" y="0"/>
                        <a:ext cx="9829800" cy="1033145"/>
                      </a:xfrm>
                      <a:prstGeom prst="rect">
                        <a:avLst/>
                      </a:prstGeom>
                      <a:solidFill>
                        <a:schemeClr val="bg2"/>
                      </a:solidFill>
                      <a:ln w="9525" cap="flat" cmpd="sng" algn="ctr">
                        <a:no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9EA69" id="Rectangle 10" o:spid="_x0000_s1026" style="position:absolute;margin-left:9pt;margin-top:9pt;width:774pt;height:81.3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" fillcolor="#7aaa6c [3214]" stroked="f">
              <v:stroke joinstyle="round"/>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744980E"/>
    <w:lvl w:ilvl="0">
      <w:start w:val="1"/>
      <w:numFmt w:val="decimal"/>
      <w:pStyle w:val="ListNumber5"/>
      <w:lvlText w:val="%1."/>
      <w:lvlJc w:val="left"/>
      <w:pPr>
        <w:tabs>
          <w:tab w:val="num" w:pos="1800"/>
        </w:tabs>
        <w:ind w:left="1800" w:hanging="360"/>
      </w:pPr>
      <w:rPr>
        <w:rFonts w:ascii="Times New Roman" w:hAnsi="Times New Roman" w:hint="default"/>
      </w:rPr>
    </w:lvl>
  </w:abstractNum>
  <w:abstractNum w:abstractNumId="1" w15:restartNumberingAfterBreak="0">
    <w:nsid w:val="FFFFFF7D"/>
    <w:multiLevelType w:val="singleLevel"/>
    <w:tmpl w:val="C4D0D280"/>
    <w:lvl w:ilvl="0">
      <w:start w:val="1"/>
      <w:numFmt w:val="decimal"/>
      <w:pStyle w:val="ListNumber4"/>
      <w:lvlText w:val="%1."/>
      <w:lvlJc w:val="left"/>
      <w:pPr>
        <w:tabs>
          <w:tab w:val="num" w:pos="1440"/>
        </w:tabs>
        <w:ind w:left="1440" w:hanging="360"/>
      </w:pPr>
      <w:rPr>
        <w:rFonts w:ascii="Times New Roman" w:hAnsi="Times New Roman" w:hint="default"/>
      </w:rPr>
    </w:lvl>
  </w:abstractNum>
  <w:abstractNum w:abstractNumId="2" w15:restartNumberingAfterBreak="0">
    <w:nsid w:val="FFFFFF7E"/>
    <w:multiLevelType w:val="singleLevel"/>
    <w:tmpl w:val="32820E90"/>
    <w:lvl w:ilvl="0">
      <w:start w:val="1"/>
      <w:numFmt w:val="decimal"/>
      <w:pStyle w:val="ListNumber3"/>
      <w:lvlText w:val="%1."/>
      <w:lvlJc w:val="left"/>
      <w:pPr>
        <w:tabs>
          <w:tab w:val="num" w:pos="1080"/>
        </w:tabs>
        <w:ind w:left="1080" w:hanging="360"/>
      </w:pPr>
      <w:rPr>
        <w:rFonts w:ascii="Times New Roman" w:hAnsi="Times New Roman" w:hint="default"/>
      </w:rPr>
    </w:lvl>
  </w:abstractNum>
  <w:abstractNum w:abstractNumId="3" w15:restartNumberingAfterBreak="0">
    <w:nsid w:val="FFFFFF80"/>
    <w:multiLevelType w:val="singleLevel"/>
    <w:tmpl w:val="A6709880"/>
    <w:lvl w:ilvl="0">
      <w:start w:val="1"/>
      <w:numFmt w:val="bullet"/>
      <w:pStyle w:val="ListBullet5"/>
      <w:lvlText w:val="●"/>
      <w:lvlJc w:val="left"/>
      <w:pPr>
        <w:ind w:left="1800" w:hanging="360"/>
      </w:pPr>
      <w:rPr>
        <w:rFonts w:ascii="Arial" w:hAnsi="Arial" w:hint="default"/>
        <w:color w:val="auto"/>
        <w:sz w:val="18"/>
      </w:rPr>
    </w:lvl>
  </w:abstractNum>
  <w:abstractNum w:abstractNumId="4" w15:restartNumberingAfterBreak="0">
    <w:nsid w:val="FFFFFF81"/>
    <w:multiLevelType w:val="singleLevel"/>
    <w:tmpl w:val="B50C275C"/>
    <w:lvl w:ilvl="0">
      <w:start w:val="1"/>
      <w:numFmt w:val="bullet"/>
      <w:pStyle w:val="ListBullet4"/>
      <w:lvlText w:val="–"/>
      <w:lvlJc w:val="left"/>
      <w:pPr>
        <w:ind w:left="1440" w:hanging="360"/>
      </w:pPr>
      <w:rPr>
        <w:rFonts w:ascii="Arial" w:hAnsi="Arial" w:hint="default"/>
        <w:color w:val="auto"/>
      </w:rPr>
    </w:lvl>
  </w:abstractNum>
  <w:abstractNum w:abstractNumId="5" w15:restartNumberingAfterBreak="0">
    <w:nsid w:val="FFFFFF83"/>
    <w:multiLevelType w:val="singleLevel"/>
    <w:tmpl w:val="321CCC32"/>
    <w:lvl w:ilvl="0">
      <w:start w:val="1"/>
      <w:numFmt w:val="bullet"/>
      <w:pStyle w:val="ListBullet2"/>
      <w:lvlText w:val="–"/>
      <w:lvlJc w:val="left"/>
      <w:pPr>
        <w:ind w:left="720" w:hanging="360"/>
      </w:pPr>
      <w:rPr>
        <w:rFonts w:hint="default"/>
        <w:color w:val="000000" w:themeColor="text1"/>
        <w:sz w:val="18"/>
      </w:rPr>
    </w:lvl>
  </w:abstractNum>
  <w:abstractNum w:abstractNumId="6" w15:restartNumberingAfterBreak="0">
    <w:nsid w:val="FFFFFF89"/>
    <w:multiLevelType w:val="singleLevel"/>
    <w:tmpl w:val="F38E128A"/>
    <w:lvl w:ilvl="0">
      <w:start w:val="1"/>
      <w:numFmt w:val="bullet"/>
      <w:pStyle w:val="ItineraryListBullet"/>
      <w:lvlText w:val=""/>
      <w:lvlJc w:val="left"/>
      <w:pPr>
        <w:ind w:left="360" w:hanging="360"/>
      </w:pPr>
      <w:rPr>
        <w:rFonts w:ascii="Wingdings" w:hAnsi="Wingdings" w:hint="default"/>
      </w:rPr>
    </w:lvl>
  </w:abstractNum>
  <w:abstractNum w:abstractNumId="7" w15:restartNumberingAfterBreak="0">
    <w:nsid w:val="10622387"/>
    <w:multiLevelType w:val="hybridMultilevel"/>
    <w:tmpl w:val="7CB8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01C74"/>
    <w:multiLevelType w:val="hybridMultilevel"/>
    <w:tmpl w:val="C8981B38"/>
    <w:lvl w:ilvl="0" w:tplc="7CC63118">
      <w:start w:val="1"/>
      <w:numFmt w:val="lowerRoman"/>
      <w:pStyle w:val="ListNumber2"/>
      <w:lvlText w:val="(%1)"/>
      <w:lvlJc w:val="left"/>
      <w:pPr>
        <w:ind w:left="619"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C3DE0"/>
    <w:multiLevelType w:val="hybridMultilevel"/>
    <w:tmpl w:val="6D64FD40"/>
    <w:lvl w:ilvl="0" w:tplc="B12EE742">
      <w:start w:val="1"/>
      <w:numFmt w:val="decimal"/>
      <w:pStyle w:val="NotesListNumb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7570D"/>
    <w:multiLevelType w:val="hybridMultilevel"/>
    <w:tmpl w:val="CBCE38F6"/>
    <w:lvl w:ilvl="0" w:tplc="88269674">
      <w:start w:val="1"/>
      <w:numFmt w:val="decimal"/>
      <w:pStyle w:val="Heading2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60E86"/>
    <w:multiLevelType w:val="hybridMultilevel"/>
    <w:tmpl w:val="C9B016A8"/>
    <w:lvl w:ilvl="0" w:tplc="845C2870">
      <w:start w:val="1"/>
      <w:numFmt w:val="decimal"/>
      <w:pStyle w:val="TableNumb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3BF905C0"/>
    <w:multiLevelType w:val="hybridMultilevel"/>
    <w:tmpl w:val="738EA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C07D43"/>
    <w:multiLevelType w:val="hybridMultilevel"/>
    <w:tmpl w:val="4C769878"/>
    <w:lvl w:ilvl="0" w:tplc="10CE25E6">
      <w:start w:val="1"/>
      <w:numFmt w:val="bullet"/>
      <w:pStyle w:val="ListBullet3"/>
      <w:lvlText w:val=""/>
      <w:lvlJc w:val="left"/>
      <w:pPr>
        <w:ind w:left="1080" w:hanging="360"/>
      </w:pPr>
      <w:rPr>
        <w:rFonts w:ascii="Symbol" w:hAnsi="Symbol" w:hint="default"/>
        <w:color w:val="FFFFFF" w:themeColor="text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4" w15:restartNumberingAfterBreak="0">
    <w:nsid w:val="43DD458A"/>
    <w:multiLevelType w:val="hybridMultilevel"/>
    <w:tmpl w:val="A1D6FC56"/>
    <w:lvl w:ilvl="0" w:tplc="307A398E">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956354"/>
    <w:multiLevelType w:val="multilevel"/>
    <w:tmpl w:val="674AE670"/>
    <w:lvl w:ilvl="0">
      <w:start w:val="1"/>
      <w:numFmt w:val="upperLetter"/>
      <w:pStyle w:val="ListAlpha"/>
      <w:lvlText w:val="%1."/>
      <w:lvlJc w:val="left"/>
      <w:pPr>
        <w:tabs>
          <w:tab w:val="num" w:pos="720"/>
        </w:tabs>
        <w:ind w:left="259" w:hanging="259"/>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F577DDC"/>
    <w:multiLevelType w:val="multilevel"/>
    <w:tmpl w:val="3D043CC4"/>
    <w:lvl w:ilvl="0">
      <w:start w:val="1"/>
      <w:numFmt w:val="decimal"/>
      <w:pStyle w:val="ListNumber"/>
      <w:lvlText w:val="%1."/>
      <w:lvlJc w:val="left"/>
      <w:pPr>
        <w:ind w:left="259" w:hanging="259"/>
      </w:pPr>
      <w:rPr>
        <w:rFonts w:hint="default"/>
        <w:color w:val="auto"/>
      </w:rPr>
    </w:lvl>
    <w:lvl w:ilvl="1">
      <w:start w:val="1"/>
      <w:numFmt w:val="lowerLetter"/>
      <w:lvlText w:val="%2."/>
      <w:lvlJc w:val="left"/>
      <w:pPr>
        <w:ind w:left="259"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314865"/>
    <w:multiLevelType w:val="hybridMultilevel"/>
    <w:tmpl w:val="C8029BCC"/>
    <w:lvl w:ilvl="0" w:tplc="6B787714">
      <w:start w:val="1"/>
      <w:numFmt w:val="decimal"/>
      <w:pStyle w:val="NoteTextNumerical"/>
      <w:lvlText w:val="%1."/>
      <w:lvlJc w:val="left"/>
      <w:pPr>
        <w:ind w:left="360" w:hanging="360"/>
      </w:pPr>
      <w:rPr>
        <w:rFonts w:ascii="Arial" w:hAnsi="Arial" w:hint="default"/>
        <w:color w:val="auto"/>
        <w:spacing w:val="-20"/>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C136C"/>
    <w:multiLevelType w:val="hybridMultilevel"/>
    <w:tmpl w:val="C3CCFABE"/>
    <w:lvl w:ilvl="0" w:tplc="930CE056">
      <w:start w:val="1"/>
      <w:numFmt w:val="bullet"/>
      <w:pStyle w:val="TableBullet"/>
      <w:lvlText w:val="•"/>
      <w:lvlJc w:val="left"/>
      <w:pPr>
        <w:ind w:left="432" w:hanging="360"/>
      </w:pPr>
      <w:rPr>
        <w:rFonts w:ascii="Calibri" w:hAnsi="Calibri"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54F04777"/>
    <w:multiLevelType w:val="hybridMultilevel"/>
    <w:tmpl w:val="DA94F55E"/>
    <w:lvl w:ilvl="0" w:tplc="4A9CA926">
      <w:start w:val="1"/>
      <w:numFmt w:val="decimal"/>
      <w:pStyle w:val="ReportEndLine"/>
      <w:lvlText w:val="%1."/>
      <w:lvlJc w:val="left"/>
      <w:pPr>
        <w:tabs>
          <w:tab w:val="num" w:pos="360"/>
        </w:tabs>
        <w:ind w:left="36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00FB4"/>
    <w:multiLevelType w:val="multilevel"/>
    <w:tmpl w:val="FB601DBA"/>
    <w:lvl w:ilvl="0">
      <w:start w:val="1"/>
      <w:numFmt w:val="decimal"/>
      <w:pStyle w:val="QuestionNumbered"/>
      <w:lvlText w:val="%1."/>
      <w:lvlJc w:val="left"/>
      <w:pPr>
        <w:ind w:left="259" w:hanging="259"/>
      </w:pPr>
      <w:rPr>
        <w:rFonts w:asciiTheme="minorHAnsi" w:hAnsiTheme="minorHAns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D9578CF"/>
    <w:multiLevelType w:val="hybridMultilevel"/>
    <w:tmpl w:val="8D52FE5A"/>
    <w:lvl w:ilvl="0" w:tplc="C6182390">
      <w:start w:val="1"/>
      <w:numFmt w:val="bullet"/>
      <w:pStyle w:val="SummaryEndListBullet"/>
      <w:lvlText w:val="■"/>
      <w:lvlJc w:val="left"/>
      <w:pPr>
        <w:ind w:left="446" w:hanging="360"/>
      </w:pPr>
      <w:rPr>
        <w:rFonts w:ascii="Arial" w:hAnsi="Arial" w:hint="default"/>
        <w:b/>
        <w:i w:val="0"/>
        <w:color w:val="FFFFFF" w:themeColor="text2"/>
        <w:spacing w:val="0"/>
        <w:w w:val="100"/>
        <w:kern w:val="12"/>
        <w:position w:val="4"/>
        <w:sz w:val="20"/>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A6E4D50"/>
    <w:multiLevelType w:val="hybridMultilevel"/>
    <w:tmpl w:val="87F8DAFE"/>
    <w:lvl w:ilvl="0" w:tplc="CD7E0E0E">
      <w:start w:val="1"/>
      <w:numFmt w:val="bullet"/>
      <w:pStyle w:val="ListBullet"/>
      <w:lvlText w:val="•"/>
      <w:lvlJc w:val="left"/>
      <w:pPr>
        <w:ind w:left="360" w:hanging="360"/>
      </w:pPr>
      <w:rPr>
        <w:rFonts w:ascii="Calibri" w:hAnsi="Calibri" w:cs="Times New Roman" w:hint="default"/>
        <w:color w:val="000000" w:themeColor="text1"/>
        <w:position w:val="2"/>
        <w:sz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23B1913"/>
    <w:multiLevelType w:val="hybridMultilevel"/>
    <w:tmpl w:val="C99ABE60"/>
    <w:lvl w:ilvl="0" w:tplc="5B0082C8">
      <w:start w:val="1"/>
      <w:numFmt w:val="bullet"/>
      <w:pStyle w:val="Checklist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3778A"/>
    <w:multiLevelType w:val="hybridMultilevel"/>
    <w:tmpl w:val="B17A1E08"/>
    <w:lvl w:ilvl="0" w:tplc="9C72401E">
      <w:start w:val="1"/>
      <w:numFmt w:val="lowerLetter"/>
      <w:pStyle w:val="ListAlpha2"/>
      <w:lvlText w:val="%1."/>
      <w:lvlJc w:val="left"/>
      <w:pPr>
        <w:tabs>
          <w:tab w:val="num" w:pos="1440"/>
        </w:tabs>
        <w:ind w:left="1440" w:hanging="720"/>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3"/>
  </w:num>
  <w:num w:numId="2">
    <w:abstractNumId w:val="10"/>
  </w:num>
  <w:num w:numId="3">
    <w:abstractNumId w:val="22"/>
  </w:num>
  <w:num w:numId="4">
    <w:abstractNumId w:val="6"/>
  </w:num>
  <w:num w:numId="5">
    <w:abstractNumId w:val="15"/>
  </w:num>
  <w:num w:numId="6">
    <w:abstractNumId w:val="24"/>
  </w:num>
  <w:num w:numId="7">
    <w:abstractNumId w:val="5"/>
  </w:num>
  <w:num w:numId="8">
    <w:abstractNumId w:val="13"/>
  </w:num>
  <w:num w:numId="9">
    <w:abstractNumId w:val="4"/>
  </w:num>
  <w:num w:numId="10">
    <w:abstractNumId w:val="3"/>
  </w:num>
  <w:num w:numId="11">
    <w:abstractNumId w:val="16"/>
  </w:num>
  <w:num w:numId="12">
    <w:abstractNumId w:val="8"/>
  </w:num>
  <w:num w:numId="13">
    <w:abstractNumId w:val="2"/>
  </w:num>
  <w:num w:numId="14">
    <w:abstractNumId w:val="1"/>
  </w:num>
  <w:num w:numId="15">
    <w:abstractNumId w:val="0"/>
  </w:num>
  <w:num w:numId="16">
    <w:abstractNumId w:val="17"/>
  </w:num>
  <w:num w:numId="17">
    <w:abstractNumId w:val="9"/>
  </w:num>
  <w:num w:numId="18">
    <w:abstractNumId w:val="19"/>
  </w:num>
  <w:num w:numId="19">
    <w:abstractNumId w:val="21"/>
  </w:num>
  <w:num w:numId="20">
    <w:abstractNumId w:val="18"/>
  </w:num>
  <w:num w:numId="21">
    <w:abstractNumId w:val="11"/>
  </w:num>
  <w:num w:numId="22">
    <w:abstractNumId w:val="16"/>
    <w:lvlOverride w:ilvl="0">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7"/>
  </w:num>
  <w:num w:numId="3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9F"/>
    <w:rsid w:val="00000487"/>
    <w:rsid w:val="00011752"/>
    <w:rsid w:val="00011804"/>
    <w:rsid w:val="000148C1"/>
    <w:rsid w:val="0002450B"/>
    <w:rsid w:val="00030B77"/>
    <w:rsid w:val="000408C0"/>
    <w:rsid w:val="00042872"/>
    <w:rsid w:val="00044EE4"/>
    <w:rsid w:val="000503A7"/>
    <w:rsid w:val="00060327"/>
    <w:rsid w:val="000705FF"/>
    <w:rsid w:val="00073901"/>
    <w:rsid w:val="00077182"/>
    <w:rsid w:val="00080F8B"/>
    <w:rsid w:val="00087AF2"/>
    <w:rsid w:val="00090851"/>
    <w:rsid w:val="00095933"/>
    <w:rsid w:val="00095BA4"/>
    <w:rsid w:val="000A741C"/>
    <w:rsid w:val="000A7517"/>
    <w:rsid w:val="000A757B"/>
    <w:rsid w:val="000B113E"/>
    <w:rsid w:val="000B30FE"/>
    <w:rsid w:val="000B4487"/>
    <w:rsid w:val="000B5D8F"/>
    <w:rsid w:val="000C10CD"/>
    <w:rsid w:val="000C4BC7"/>
    <w:rsid w:val="000D6460"/>
    <w:rsid w:val="000D7EA2"/>
    <w:rsid w:val="000E268E"/>
    <w:rsid w:val="000E72B5"/>
    <w:rsid w:val="000F539A"/>
    <w:rsid w:val="0010084A"/>
    <w:rsid w:val="00103AAE"/>
    <w:rsid w:val="001072C1"/>
    <w:rsid w:val="001118BC"/>
    <w:rsid w:val="00117D61"/>
    <w:rsid w:val="00121FBB"/>
    <w:rsid w:val="00123B5B"/>
    <w:rsid w:val="00125276"/>
    <w:rsid w:val="001343C9"/>
    <w:rsid w:val="00135491"/>
    <w:rsid w:val="001371B9"/>
    <w:rsid w:val="00140B15"/>
    <w:rsid w:val="00147453"/>
    <w:rsid w:val="00151A7F"/>
    <w:rsid w:val="001520B0"/>
    <w:rsid w:val="001537D4"/>
    <w:rsid w:val="00156048"/>
    <w:rsid w:val="00156C45"/>
    <w:rsid w:val="001648F0"/>
    <w:rsid w:val="00164C6D"/>
    <w:rsid w:val="001746AE"/>
    <w:rsid w:val="00174C9B"/>
    <w:rsid w:val="00176DC3"/>
    <w:rsid w:val="00176EBE"/>
    <w:rsid w:val="00181818"/>
    <w:rsid w:val="001820E1"/>
    <w:rsid w:val="001874A2"/>
    <w:rsid w:val="00187AD0"/>
    <w:rsid w:val="00190B48"/>
    <w:rsid w:val="00191598"/>
    <w:rsid w:val="00196F3B"/>
    <w:rsid w:val="001A2811"/>
    <w:rsid w:val="001A4057"/>
    <w:rsid w:val="001A47A9"/>
    <w:rsid w:val="001A4C30"/>
    <w:rsid w:val="001A6BC6"/>
    <w:rsid w:val="001B1454"/>
    <w:rsid w:val="001C3D0A"/>
    <w:rsid w:val="001C4980"/>
    <w:rsid w:val="001C5229"/>
    <w:rsid w:val="001D0A89"/>
    <w:rsid w:val="001D1600"/>
    <w:rsid w:val="001D5938"/>
    <w:rsid w:val="001E1C52"/>
    <w:rsid w:val="001E28F0"/>
    <w:rsid w:val="001E2B99"/>
    <w:rsid w:val="001E36D5"/>
    <w:rsid w:val="001E4F9D"/>
    <w:rsid w:val="001E72C7"/>
    <w:rsid w:val="00204A2A"/>
    <w:rsid w:val="00211D8F"/>
    <w:rsid w:val="0021249D"/>
    <w:rsid w:val="00216BAC"/>
    <w:rsid w:val="00224FCC"/>
    <w:rsid w:val="002319FE"/>
    <w:rsid w:val="002337BB"/>
    <w:rsid w:val="002344F2"/>
    <w:rsid w:val="00240B5D"/>
    <w:rsid w:val="00247F3F"/>
    <w:rsid w:val="00251D10"/>
    <w:rsid w:val="00252E59"/>
    <w:rsid w:val="0025337C"/>
    <w:rsid w:val="00256D80"/>
    <w:rsid w:val="00262483"/>
    <w:rsid w:val="00264F3C"/>
    <w:rsid w:val="0026639D"/>
    <w:rsid w:val="00271906"/>
    <w:rsid w:val="0027282B"/>
    <w:rsid w:val="002747F0"/>
    <w:rsid w:val="00274F4B"/>
    <w:rsid w:val="002752DE"/>
    <w:rsid w:val="0027657A"/>
    <w:rsid w:val="002835FF"/>
    <w:rsid w:val="00293BDF"/>
    <w:rsid w:val="002A68F4"/>
    <w:rsid w:val="002B070A"/>
    <w:rsid w:val="002C3A96"/>
    <w:rsid w:val="002C48B2"/>
    <w:rsid w:val="002D0684"/>
    <w:rsid w:val="002E156D"/>
    <w:rsid w:val="002E2CE3"/>
    <w:rsid w:val="002F4877"/>
    <w:rsid w:val="002F5CFB"/>
    <w:rsid w:val="002F70E6"/>
    <w:rsid w:val="002F7A98"/>
    <w:rsid w:val="003002EE"/>
    <w:rsid w:val="00307A3E"/>
    <w:rsid w:val="00313334"/>
    <w:rsid w:val="00323063"/>
    <w:rsid w:val="003236C9"/>
    <w:rsid w:val="00323E56"/>
    <w:rsid w:val="00327443"/>
    <w:rsid w:val="003278AB"/>
    <w:rsid w:val="00342536"/>
    <w:rsid w:val="0034362D"/>
    <w:rsid w:val="0035054D"/>
    <w:rsid w:val="00352CFF"/>
    <w:rsid w:val="00354631"/>
    <w:rsid w:val="00365785"/>
    <w:rsid w:val="003738AF"/>
    <w:rsid w:val="00376E6D"/>
    <w:rsid w:val="00386E33"/>
    <w:rsid w:val="00391F9A"/>
    <w:rsid w:val="0039211C"/>
    <w:rsid w:val="00392662"/>
    <w:rsid w:val="003A3C02"/>
    <w:rsid w:val="003A6ECB"/>
    <w:rsid w:val="003B067F"/>
    <w:rsid w:val="003B0789"/>
    <w:rsid w:val="003B0811"/>
    <w:rsid w:val="003B19BD"/>
    <w:rsid w:val="003B43C5"/>
    <w:rsid w:val="003B5F8C"/>
    <w:rsid w:val="003C4D67"/>
    <w:rsid w:val="003C60B1"/>
    <w:rsid w:val="003C7C5F"/>
    <w:rsid w:val="003D26C8"/>
    <w:rsid w:val="003D4FE1"/>
    <w:rsid w:val="003D6894"/>
    <w:rsid w:val="003E3133"/>
    <w:rsid w:val="003E4706"/>
    <w:rsid w:val="003E537B"/>
    <w:rsid w:val="003F3BA4"/>
    <w:rsid w:val="003F3D5E"/>
    <w:rsid w:val="003F4517"/>
    <w:rsid w:val="003F5AA6"/>
    <w:rsid w:val="003F5BF7"/>
    <w:rsid w:val="004021AE"/>
    <w:rsid w:val="00405DD3"/>
    <w:rsid w:val="0040600A"/>
    <w:rsid w:val="00407379"/>
    <w:rsid w:val="00410626"/>
    <w:rsid w:val="00411CBE"/>
    <w:rsid w:val="00414A72"/>
    <w:rsid w:val="00420D83"/>
    <w:rsid w:val="00436899"/>
    <w:rsid w:val="00437899"/>
    <w:rsid w:val="004421AC"/>
    <w:rsid w:val="004453FC"/>
    <w:rsid w:val="0045547B"/>
    <w:rsid w:val="004644C6"/>
    <w:rsid w:val="00465AEE"/>
    <w:rsid w:val="0047482F"/>
    <w:rsid w:val="00476BFF"/>
    <w:rsid w:val="00486DCC"/>
    <w:rsid w:val="00494D5C"/>
    <w:rsid w:val="0049617C"/>
    <w:rsid w:val="004A0465"/>
    <w:rsid w:val="004A0B3E"/>
    <w:rsid w:val="004A6A87"/>
    <w:rsid w:val="004A7828"/>
    <w:rsid w:val="004B72B3"/>
    <w:rsid w:val="004B7B5E"/>
    <w:rsid w:val="004C37AD"/>
    <w:rsid w:val="004C3AC5"/>
    <w:rsid w:val="004C45DD"/>
    <w:rsid w:val="004D14D8"/>
    <w:rsid w:val="004D5960"/>
    <w:rsid w:val="004E58CB"/>
    <w:rsid w:val="004E7CEB"/>
    <w:rsid w:val="004F1C36"/>
    <w:rsid w:val="004F32DB"/>
    <w:rsid w:val="004F7E0E"/>
    <w:rsid w:val="00502D2F"/>
    <w:rsid w:val="0050378F"/>
    <w:rsid w:val="005068D8"/>
    <w:rsid w:val="0051149F"/>
    <w:rsid w:val="00512E80"/>
    <w:rsid w:val="005136AF"/>
    <w:rsid w:val="00516926"/>
    <w:rsid w:val="0052239C"/>
    <w:rsid w:val="0052478D"/>
    <w:rsid w:val="00526BAA"/>
    <w:rsid w:val="00527058"/>
    <w:rsid w:val="00532C5C"/>
    <w:rsid w:val="00536986"/>
    <w:rsid w:val="0053736A"/>
    <w:rsid w:val="005443CD"/>
    <w:rsid w:val="005506CA"/>
    <w:rsid w:val="00551820"/>
    <w:rsid w:val="00556039"/>
    <w:rsid w:val="00561DE0"/>
    <w:rsid w:val="005620C1"/>
    <w:rsid w:val="0056226C"/>
    <w:rsid w:val="005650B7"/>
    <w:rsid w:val="005707E0"/>
    <w:rsid w:val="00570F2D"/>
    <w:rsid w:val="0058282A"/>
    <w:rsid w:val="0058598F"/>
    <w:rsid w:val="00587F49"/>
    <w:rsid w:val="0059071E"/>
    <w:rsid w:val="00593984"/>
    <w:rsid w:val="00594BB5"/>
    <w:rsid w:val="0059630D"/>
    <w:rsid w:val="00597789"/>
    <w:rsid w:val="005A0F66"/>
    <w:rsid w:val="005A1560"/>
    <w:rsid w:val="005A45BD"/>
    <w:rsid w:val="005B12CD"/>
    <w:rsid w:val="005B4878"/>
    <w:rsid w:val="005C19B7"/>
    <w:rsid w:val="005C1C31"/>
    <w:rsid w:val="005C649F"/>
    <w:rsid w:val="005C6518"/>
    <w:rsid w:val="005D19E6"/>
    <w:rsid w:val="005D2FBA"/>
    <w:rsid w:val="005D7448"/>
    <w:rsid w:val="005E1BB1"/>
    <w:rsid w:val="005E75A4"/>
    <w:rsid w:val="005F2A0B"/>
    <w:rsid w:val="00601777"/>
    <w:rsid w:val="006022B5"/>
    <w:rsid w:val="0060544C"/>
    <w:rsid w:val="0061063F"/>
    <w:rsid w:val="0061193E"/>
    <w:rsid w:val="00611B09"/>
    <w:rsid w:val="00612E37"/>
    <w:rsid w:val="00616BF1"/>
    <w:rsid w:val="006229C9"/>
    <w:rsid w:val="006232A3"/>
    <w:rsid w:val="00623320"/>
    <w:rsid w:val="006250C2"/>
    <w:rsid w:val="00625A0E"/>
    <w:rsid w:val="006329CA"/>
    <w:rsid w:val="006437BF"/>
    <w:rsid w:val="00645192"/>
    <w:rsid w:val="00650C40"/>
    <w:rsid w:val="00662E44"/>
    <w:rsid w:val="00663FB1"/>
    <w:rsid w:val="00664E84"/>
    <w:rsid w:val="00670070"/>
    <w:rsid w:val="00691673"/>
    <w:rsid w:val="00694C33"/>
    <w:rsid w:val="006961EB"/>
    <w:rsid w:val="006A19CA"/>
    <w:rsid w:val="006A3CC4"/>
    <w:rsid w:val="006A5D85"/>
    <w:rsid w:val="006B1A58"/>
    <w:rsid w:val="006B3BBD"/>
    <w:rsid w:val="006C7851"/>
    <w:rsid w:val="006D1EDB"/>
    <w:rsid w:val="006D29E0"/>
    <w:rsid w:val="006D542A"/>
    <w:rsid w:val="006D7DDD"/>
    <w:rsid w:val="006E1E34"/>
    <w:rsid w:val="006E454A"/>
    <w:rsid w:val="006E5E03"/>
    <w:rsid w:val="006F146F"/>
    <w:rsid w:val="006F2D99"/>
    <w:rsid w:val="006F5101"/>
    <w:rsid w:val="006F7FD9"/>
    <w:rsid w:val="0070062F"/>
    <w:rsid w:val="0070198E"/>
    <w:rsid w:val="007054E9"/>
    <w:rsid w:val="00721D01"/>
    <w:rsid w:val="00721EC7"/>
    <w:rsid w:val="0073203B"/>
    <w:rsid w:val="007321BF"/>
    <w:rsid w:val="00734307"/>
    <w:rsid w:val="00737549"/>
    <w:rsid w:val="00740EA2"/>
    <w:rsid w:val="0075070A"/>
    <w:rsid w:val="007513CD"/>
    <w:rsid w:val="00752779"/>
    <w:rsid w:val="00763B38"/>
    <w:rsid w:val="00765441"/>
    <w:rsid w:val="00766DBF"/>
    <w:rsid w:val="00766E34"/>
    <w:rsid w:val="007741AA"/>
    <w:rsid w:val="007774E6"/>
    <w:rsid w:val="00780EBE"/>
    <w:rsid w:val="00781CCB"/>
    <w:rsid w:val="007824FA"/>
    <w:rsid w:val="00784E88"/>
    <w:rsid w:val="007916F3"/>
    <w:rsid w:val="007944E5"/>
    <w:rsid w:val="00794564"/>
    <w:rsid w:val="00797AAA"/>
    <w:rsid w:val="007A1EE5"/>
    <w:rsid w:val="007A31C8"/>
    <w:rsid w:val="007A798B"/>
    <w:rsid w:val="007B0F8D"/>
    <w:rsid w:val="007B599F"/>
    <w:rsid w:val="007B63DE"/>
    <w:rsid w:val="007C13A8"/>
    <w:rsid w:val="007C1735"/>
    <w:rsid w:val="007C2186"/>
    <w:rsid w:val="007D4BB0"/>
    <w:rsid w:val="007E2213"/>
    <w:rsid w:val="007E2AB9"/>
    <w:rsid w:val="007E5A56"/>
    <w:rsid w:val="007F3ED2"/>
    <w:rsid w:val="007F424F"/>
    <w:rsid w:val="007F7ED8"/>
    <w:rsid w:val="00800735"/>
    <w:rsid w:val="00803DFC"/>
    <w:rsid w:val="00805A15"/>
    <w:rsid w:val="008075D1"/>
    <w:rsid w:val="008173D0"/>
    <w:rsid w:val="00817404"/>
    <w:rsid w:val="00822A37"/>
    <w:rsid w:val="00824696"/>
    <w:rsid w:val="00830BB4"/>
    <w:rsid w:val="00831A5C"/>
    <w:rsid w:val="0084050F"/>
    <w:rsid w:val="008419A1"/>
    <w:rsid w:val="00843A7F"/>
    <w:rsid w:val="0085016C"/>
    <w:rsid w:val="00850673"/>
    <w:rsid w:val="00856BC5"/>
    <w:rsid w:val="008617A6"/>
    <w:rsid w:val="008622A5"/>
    <w:rsid w:val="00865AFF"/>
    <w:rsid w:val="00870010"/>
    <w:rsid w:val="00872E91"/>
    <w:rsid w:val="00874A98"/>
    <w:rsid w:val="008757D5"/>
    <w:rsid w:val="00880012"/>
    <w:rsid w:val="0088131A"/>
    <w:rsid w:val="008844EA"/>
    <w:rsid w:val="00884A5A"/>
    <w:rsid w:val="00885B0F"/>
    <w:rsid w:val="008867B8"/>
    <w:rsid w:val="008908D8"/>
    <w:rsid w:val="00890CC4"/>
    <w:rsid w:val="008925B4"/>
    <w:rsid w:val="00894387"/>
    <w:rsid w:val="008A09F0"/>
    <w:rsid w:val="008A0E29"/>
    <w:rsid w:val="008A1A34"/>
    <w:rsid w:val="008A43CA"/>
    <w:rsid w:val="008A4B98"/>
    <w:rsid w:val="008C1FAD"/>
    <w:rsid w:val="008D026C"/>
    <w:rsid w:val="008D6FEE"/>
    <w:rsid w:val="008E1D84"/>
    <w:rsid w:val="008E7005"/>
    <w:rsid w:val="008F27D9"/>
    <w:rsid w:val="008F3B20"/>
    <w:rsid w:val="009049B9"/>
    <w:rsid w:val="00912990"/>
    <w:rsid w:val="00912EA0"/>
    <w:rsid w:val="00916426"/>
    <w:rsid w:val="00917562"/>
    <w:rsid w:val="00922239"/>
    <w:rsid w:val="0092475A"/>
    <w:rsid w:val="0093194B"/>
    <w:rsid w:val="00936489"/>
    <w:rsid w:val="00936521"/>
    <w:rsid w:val="009370A2"/>
    <w:rsid w:val="0094224D"/>
    <w:rsid w:val="00944429"/>
    <w:rsid w:val="00945191"/>
    <w:rsid w:val="0094553D"/>
    <w:rsid w:val="00946DCA"/>
    <w:rsid w:val="009504FC"/>
    <w:rsid w:val="00950C99"/>
    <w:rsid w:val="0095598C"/>
    <w:rsid w:val="009562D1"/>
    <w:rsid w:val="00957A33"/>
    <w:rsid w:val="00964073"/>
    <w:rsid w:val="0096522B"/>
    <w:rsid w:val="00967590"/>
    <w:rsid w:val="00971E1E"/>
    <w:rsid w:val="009825C7"/>
    <w:rsid w:val="00982601"/>
    <w:rsid w:val="00990F5E"/>
    <w:rsid w:val="00992B1B"/>
    <w:rsid w:val="0099384B"/>
    <w:rsid w:val="009945DF"/>
    <w:rsid w:val="009A54EC"/>
    <w:rsid w:val="009A681F"/>
    <w:rsid w:val="009A6F22"/>
    <w:rsid w:val="009A75EA"/>
    <w:rsid w:val="009B64B9"/>
    <w:rsid w:val="009C261B"/>
    <w:rsid w:val="009C52EE"/>
    <w:rsid w:val="009D221D"/>
    <w:rsid w:val="009D346F"/>
    <w:rsid w:val="009D6C9D"/>
    <w:rsid w:val="009E2901"/>
    <w:rsid w:val="009E4437"/>
    <w:rsid w:val="009F7796"/>
    <w:rsid w:val="009F7A56"/>
    <w:rsid w:val="00A01A2E"/>
    <w:rsid w:val="00A15686"/>
    <w:rsid w:val="00A2447D"/>
    <w:rsid w:val="00A260D1"/>
    <w:rsid w:val="00A27223"/>
    <w:rsid w:val="00A31B80"/>
    <w:rsid w:val="00A35E7F"/>
    <w:rsid w:val="00A423B3"/>
    <w:rsid w:val="00A44556"/>
    <w:rsid w:val="00A50610"/>
    <w:rsid w:val="00A560DA"/>
    <w:rsid w:val="00A6342A"/>
    <w:rsid w:val="00A6427C"/>
    <w:rsid w:val="00A64648"/>
    <w:rsid w:val="00A729F8"/>
    <w:rsid w:val="00A831CE"/>
    <w:rsid w:val="00A85B40"/>
    <w:rsid w:val="00A90360"/>
    <w:rsid w:val="00A90AFC"/>
    <w:rsid w:val="00A97340"/>
    <w:rsid w:val="00A979B2"/>
    <w:rsid w:val="00AB0269"/>
    <w:rsid w:val="00AB2158"/>
    <w:rsid w:val="00AC2B2F"/>
    <w:rsid w:val="00AD22A9"/>
    <w:rsid w:val="00AD2F0E"/>
    <w:rsid w:val="00AD3923"/>
    <w:rsid w:val="00AD5529"/>
    <w:rsid w:val="00AD6215"/>
    <w:rsid w:val="00AE0BC0"/>
    <w:rsid w:val="00AE5196"/>
    <w:rsid w:val="00AE5E66"/>
    <w:rsid w:val="00AF0F1F"/>
    <w:rsid w:val="00AF2225"/>
    <w:rsid w:val="00AF2390"/>
    <w:rsid w:val="00AF707D"/>
    <w:rsid w:val="00AF7735"/>
    <w:rsid w:val="00B04BE1"/>
    <w:rsid w:val="00B05210"/>
    <w:rsid w:val="00B104F3"/>
    <w:rsid w:val="00B1187A"/>
    <w:rsid w:val="00B11BB0"/>
    <w:rsid w:val="00B151D5"/>
    <w:rsid w:val="00B152C9"/>
    <w:rsid w:val="00B157CC"/>
    <w:rsid w:val="00B25D1B"/>
    <w:rsid w:val="00B2653E"/>
    <w:rsid w:val="00B27E53"/>
    <w:rsid w:val="00B306A0"/>
    <w:rsid w:val="00B307F2"/>
    <w:rsid w:val="00B310D5"/>
    <w:rsid w:val="00B32E8B"/>
    <w:rsid w:val="00B42028"/>
    <w:rsid w:val="00B50980"/>
    <w:rsid w:val="00B51816"/>
    <w:rsid w:val="00B554B3"/>
    <w:rsid w:val="00B6113D"/>
    <w:rsid w:val="00B614A6"/>
    <w:rsid w:val="00B649E2"/>
    <w:rsid w:val="00B6608F"/>
    <w:rsid w:val="00B66B1D"/>
    <w:rsid w:val="00B72709"/>
    <w:rsid w:val="00B729C7"/>
    <w:rsid w:val="00B76C85"/>
    <w:rsid w:val="00B77AB2"/>
    <w:rsid w:val="00B9207A"/>
    <w:rsid w:val="00B94D60"/>
    <w:rsid w:val="00B9583B"/>
    <w:rsid w:val="00B96EA0"/>
    <w:rsid w:val="00BA089A"/>
    <w:rsid w:val="00BA6161"/>
    <w:rsid w:val="00BB142E"/>
    <w:rsid w:val="00BB3F9A"/>
    <w:rsid w:val="00BB5841"/>
    <w:rsid w:val="00BE5214"/>
    <w:rsid w:val="00BE55BF"/>
    <w:rsid w:val="00BE6A6A"/>
    <w:rsid w:val="00BF0A27"/>
    <w:rsid w:val="00BF322B"/>
    <w:rsid w:val="00C03217"/>
    <w:rsid w:val="00C03410"/>
    <w:rsid w:val="00C04245"/>
    <w:rsid w:val="00C10145"/>
    <w:rsid w:val="00C20ED1"/>
    <w:rsid w:val="00C21CC4"/>
    <w:rsid w:val="00C262AF"/>
    <w:rsid w:val="00C322AF"/>
    <w:rsid w:val="00C32BCD"/>
    <w:rsid w:val="00C36C8D"/>
    <w:rsid w:val="00C37765"/>
    <w:rsid w:val="00C517CA"/>
    <w:rsid w:val="00C53DB0"/>
    <w:rsid w:val="00C631EF"/>
    <w:rsid w:val="00C704B1"/>
    <w:rsid w:val="00C73EC4"/>
    <w:rsid w:val="00C741DD"/>
    <w:rsid w:val="00C809BB"/>
    <w:rsid w:val="00C8137D"/>
    <w:rsid w:val="00C8169F"/>
    <w:rsid w:val="00C84D4E"/>
    <w:rsid w:val="00C8549D"/>
    <w:rsid w:val="00C86309"/>
    <w:rsid w:val="00C8750A"/>
    <w:rsid w:val="00C910F6"/>
    <w:rsid w:val="00C9410B"/>
    <w:rsid w:val="00C9430E"/>
    <w:rsid w:val="00C95692"/>
    <w:rsid w:val="00C95E42"/>
    <w:rsid w:val="00CA0C5B"/>
    <w:rsid w:val="00CA25EF"/>
    <w:rsid w:val="00CB7BD1"/>
    <w:rsid w:val="00CF1CCD"/>
    <w:rsid w:val="00CF1FDD"/>
    <w:rsid w:val="00CF3B6F"/>
    <w:rsid w:val="00CF67AA"/>
    <w:rsid w:val="00CF7954"/>
    <w:rsid w:val="00D07376"/>
    <w:rsid w:val="00D10244"/>
    <w:rsid w:val="00D178F4"/>
    <w:rsid w:val="00D20BEA"/>
    <w:rsid w:val="00D228A6"/>
    <w:rsid w:val="00D24F82"/>
    <w:rsid w:val="00D2773F"/>
    <w:rsid w:val="00D36554"/>
    <w:rsid w:val="00D36C41"/>
    <w:rsid w:val="00D44C38"/>
    <w:rsid w:val="00D45451"/>
    <w:rsid w:val="00D461EF"/>
    <w:rsid w:val="00D46F8A"/>
    <w:rsid w:val="00D47662"/>
    <w:rsid w:val="00D53207"/>
    <w:rsid w:val="00D534B9"/>
    <w:rsid w:val="00D540B6"/>
    <w:rsid w:val="00D54E90"/>
    <w:rsid w:val="00D64E48"/>
    <w:rsid w:val="00D66AB3"/>
    <w:rsid w:val="00D67BA2"/>
    <w:rsid w:val="00D75D5D"/>
    <w:rsid w:val="00D76053"/>
    <w:rsid w:val="00D8536F"/>
    <w:rsid w:val="00D8571B"/>
    <w:rsid w:val="00D91588"/>
    <w:rsid w:val="00D940CD"/>
    <w:rsid w:val="00DA3B18"/>
    <w:rsid w:val="00DA46E7"/>
    <w:rsid w:val="00DA582B"/>
    <w:rsid w:val="00DB119B"/>
    <w:rsid w:val="00DB7BF3"/>
    <w:rsid w:val="00DC0415"/>
    <w:rsid w:val="00DC6180"/>
    <w:rsid w:val="00DD1CB7"/>
    <w:rsid w:val="00DD2D02"/>
    <w:rsid w:val="00DD3AB4"/>
    <w:rsid w:val="00DD508F"/>
    <w:rsid w:val="00DD53E2"/>
    <w:rsid w:val="00DD55B9"/>
    <w:rsid w:val="00DD5A68"/>
    <w:rsid w:val="00DE1F88"/>
    <w:rsid w:val="00DE43A7"/>
    <w:rsid w:val="00DE48A3"/>
    <w:rsid w:val="00DE6FAE"/>
    <w:rsid w:val="00DE7B05"/>
    <w:rsid w:val="00DF5738"/>
    <w:rsid w:val="00DF7059"/>
    <w:rsid w:val="00DF7211"/>
    <w:rsid w:val="00E15B09"/>
    <w:rsid w:val="00E21188"/>
    <w:rsid w:val="00E237B7"/>
    <w:rsid w:val="00E241E4"/>
    <w:rsid w:val="00E309AB"/>
    <w:rsid w:val="00E340A5"/>
    <w:rsid w:val="00E40129"/>
    <w:rsid w:val="00E441F3"/>
    <w:rsid w:val="00E4471E"/>
    <w:rsid w:val="00E459E2"/>
    <w:rsid w:val="00E47380"/>
    <w:rsid w:val="00E514F4"/>
    <w:rsid w:val="00E622C0"/>
    <w:rsid w:val="00E64B78"/>
    <w:rsid w:val="00E66007"/>
    <w:rsid w:val="00E673D4"/>
    <w:rsid w:val="00E72E09"/>
    <w:rsid w:val="00E7461F"/>
    <w:rsid w:val="00E766AF"/>
    <w:rsid w:val="00E836C9"/>
    <w:rsid w:val="00E85EF0"/>
    <w:rsid w:val="00E87B08"/>
    <w:rsid w:val="00E9457A"/>
    <w:rsid w:val="00E97D12"/>
    <w:rsid w:val="00EA0E21"/>
    <w:rsid w:val="00EA24BA"/>
    <w:rsid w:val="00EA2E1E"/>
    <w:rsid w:val="00EA78CA"/>
    <w:rsid w:val="00EC3A7D"/>
    <w:rsid w:val="00EC5F38"/>
    <w:rsid w:val="00EC6787"/>
    <w:rsid w:val="00ED0AC4"/>
    <w:rsid w:val="00ED0E96"/>
    <w:rsid w:val="00EE20FA"/>
    <w:rsid w:val="00EE60A8"/>
    <w:rsid w:val="00EF737F"/>
    <w:rsid w:val="00F00A5F"/>
    <w:rsid w:val="00F03E58"/>
    <w:rsid w:val="00F13365"/>
    <w:rsid w:val="00F25BD9"/>
    <w:rsid w:val="00F27665"/>
    <w:rsid w:val="00F329FF"/>
    <w:rsid w:val="00F334F4"/>
    <w:rsid w:val="00F36BE7"/>
    <w:rsid w:val="00F41B53"/>
    <w:rsid w:val="00F41C1A"/>
    <w:rsid w:val="00F428C3"/>
    <w:rsid w:val="00F45363"/>
    <w:rsid w:val="00F5568E"/>
    <w:rsid w:val="00F56FB2"/>
    <w:rsid w:val="00F61986"/>
    <w:rsid w:val="00F62C8C"/>
    <w:rsid w:val="00F639C4"/>
    <w:rsid w:val="00F6445F"/>
    <w:rsid w:val="00F65156"/>
    <w:rsid w:val="00F67294"/>
    <w:rsid w:val="00F71BD0"/>
    <w:rsid w:val="00F721EA"/>
    <w:rsid w:val="00F75F97"/>
    <w:rsid w:val="00F858E7"/>
    <w:rsid w:val="00F90A9C"/>
    <w:rsid w:val="00F9288F"/>
    <w:rsid w:val="00F9289C"/>
    <w:rsid w:val="00F94E14"/>
    <w:rsid w:val="00F9543E"/>
    <w:rsid w:val="00FA36A6"/>
    <w:rsid w:val="00FA54AA"/>
    <w:rsid w:val="00FB05FA"/>
    <w:rsid w:val="00FB24E4"/>
    <w:rsid w:val="00FB308E"/>
    <w:rsid w:val="00FB45FE"/>
    <w:rsid w:val="00FB4CB1"/>
    <w:rsid w:val="00FB61FB"/>
    <w:rsid w:val="00FB62D8"/>
    <w:rsid w:val="00FB6E78"/>
    <w:rsid w:val="00FC0C38"/>
    <w:rsid w:val="00FD5A31"/>
    <w:rsid w:val="00FE0FA1"/>
    <w:rsid w:val="00FE102E"/>
    <w:rsid w:val="00FE2DD8"/>
    <w:rsid w:val="00FE5495"/>
    <w:rsid w:val="00FF37FE"/>
    <w:rsid w:val="00FF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lang w:val="en-US" w:eastAsia="en-US" w:bidi="ar-SA"/>
      </w:rPr>
    </w:rPrDefault>
    <w:pPrDefault/>
  </w:docDefaults>
  <w:latentStyles w:defLockedState="0" w:defUIPriority="99" w:defSemiHidden="0" w:defUnhideWhenUsed="0" w:defQFormat="0" w:count="371">
    <w:lsdException w:name="Normal" w:uiPriority="11"/>
    <w:lsdException w:name="heading 1" w:uiPriority="6" w:qFormat="1"/>
    <w:lsdException w:name="heading 2" w:uiPriority="6" w:qFormat="1"/>
    <w:lsdException w:name="heading 3" w:uiPriority="6" w:qFormat="1"/>
    <w:lsdException w:name="heading 4"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8" w:unhideWhenUsed="1"/>
    <w:lsdException w:name="endnote text" w:semiHidden="1" w:uiPriority="7"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2" w:unhideWhenUsed="1" w:qFormat="1"/>
    <w:lsdException w:name="List Number" w:semiHidden="1" w:uiPriority="2" w:unhideWhenUsed="1"/>
    <w:lsdException w:name="List 2" w:semiHidden="1" w:uiPriority="5"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5" w:unhideWhenUsed="1"/>
    <w:lsdException w:name="List Bullet 5" w:semiHidden="1" w:uiPriority="5" w:unhideWhenUsed="1"/>
    <w:lsdException w:name="List Number 2" w:semiHidden="1" w:uiPriority="2"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lsdException w:name="Closing" w:semiHidden="1" w:uiPriority="2" w:unhideWhenUsed="1"/>
    <w:lsdException w:name="Signature" w:semiHidden="1" w:uiPriority="2"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5" w:unhideWhenUsed="1"/>
    <w:lsdException w:name="List Continue 5" w:semiHidden="1" w:uiPriority="5" w:unhideWhenUsed="1"/>
    <w:lsdException w:name="Message Header" w:semiHidden="1" w:unhideWhenUsed="1"/>
    <w:lsdException w:name="Subtitle" w:uiPriority="11"/>
    <w:lsdException w:name="Salutation" w:semiHidden="1" w:uiPriority="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rsid w:val="001A2811"/>
    <w:pPr>
      <w:spacing w:before="180" w:after="120" w:line="269" w:lineRule="auto"/>
    </w:pPr>
    <w:rPr>
      <w:szCs w:val="24"/>
    </w:rPr>
  </w:style>
  <w:style w:type="paragraph" w:styleId="Heading1">
    <w:name w:val="heading 1"/>
    <w:basedOn w:val="NORMALFONTHEAD"/>
    <w:next w:val="BodyText"/>
    <w:link w:val="Heading1Char"/>
    <w:uiPriority w:val="6"/>
    <w:qFormat/>
    <w:rsid w:val="00D64E48"/>
    <w:pPr>
      <w:keepNext/>
      <w:tabs>
        <w:tab w:val="clear" w:pos="230"/>
        <w:tab w:val="clear" w:pos="475"/>
        <w:tab w:val="clear" w:pos="720"/>
        <w:tab w:val="clear" w:pos="965"/>
        <w:tab w:val="clear" w:pos="1210"/>
        <w:tab w:val="clear" w:pos="1440"/>
      </w:tabs>
      <w:spacing w:before="0" w:line="780" w:lineRule="exact"/>
      <w:ind w:right="-2419"/>
      <w:outlineLvl w:val="0"/>
    </w:pPr>
    <w:rPr>
      <w:color w:val="7AAA6C" w:themeColor="background2"/>
      <w:sz w:val="72"/>
      <w:szCs w:val="28"/>
    </w:rPr>
  </w:style>
  <w:style w:type="paragraph" w:styleId="Heading2">
    <w:name w:val="heading 2"/>
    <w:basedOn w:val="NORMALFONTHEAD"/>
    <w:next w:val="BodyText"/>
    <w:link w:val="Heading2Char"/>
    <w:uiPriority w:val="6"/>
    <w:qFormat/>
    <w:rsid w:val="00D64E48"/>
    <w:pPr>
      <w:keepNext/>
      <w:tabs>
        <w:tab w:val="clear" w:pos="230"/>
        <w:tab w:val="clear" w:pos="475"/>
        <w:tab w:val="clear" w:pos="720"/>
        <w:tab w:val="clear" w:pos="965"/>
        <w:tab w:val="clear" w:pos="1210"/>
        <w:tab w:val="clear" w:pos="1440"/>
      </w:tabs>
      <w:spacing w:line="600" w:lineRule="exact"/>
      <w:ind w:right="-2419"/>
      <w:outlineLvl w:val="1"/>
    </w:pPr>
    <w:rPr>
      <w:color w:val="7AAA6C" w:themeColor="background2"/>
      <w:sz w:val="54"/>
      <w:szCs w:val="20"/>
    </w:rPr>
  </w:style>
  <w:style w:type="paragraph" w:styleId="Heading3">
    <w:name w:val="heading 3"/>
    <w:basedOn w:val="NORMALFONTHEAD"/>
    <w:next w:val="BodyText"/>
    <w:link w:val="Heading3Char"/>
    <w:uiPriority w:val="6"/>
    <w:qFormat/>
    <w:rsid w:val="00D64E48"/>
    <w:pPr>
      <w:keepNext/>
      <w:tabs>
        <w:tab w:val="clear" w:pos="230"/>
        <w:tab w:val="clear" w:pos="475"/>
        <w:tab w:val="clear" w:pos="720"/>
        <w:tab w:val="clear" w:pos="965"/>
        <w:tab w:val="clear" w:pos="1210"/>
        <w:tab w:val="clear" w:pos="1440"/>
      </w:tabs>
      <w:spacing w:line="420" w:lineRule="exact"/>
      <w:ind w:right="-2419"/>
      <w:outlineLvl w:val="2"/>
    </w:pPr>
    <w:rPr>
      <w:color w:val="7AAA6C" w:themeColor="background2"/>
      <w:sz w:val="36"/>
    </w:rPr>
  </w:style>
  <w:style w:type="paragraph" w:styleId="Heading4">
    <w:name w:val="heading 4"/>
    <w:basedOn w:val="NORMALFONTBODY"/>
    <w:next w:val="BodyText"/>
    <w:link w:val="Heading4Char"/>
    <w:uiPriority w:val="6"/>
    <w:qFormat/>
    <w:rsid w:val="00D64E48"/>
    <w:pPr>
      <w:spacing w:line="300" w:lineRule="exact"/>
      <w:ind w:right="-2419"/>
      <w:outlineLvl w:val="3"/>
    </w:pPr>
    <w:rPr>
      <w:rFonts w:asciiTheme="majorHAnsi" w:hAnsiTheme="majorHAnsi"/>
      <w:color w:val="7AAA6C" w:themeColor="background2"/>
      <w:sz w:val="24"/>
      <w:szCs w:val="28"/>
    </w:rPr>
  </w:style>
  <w:style w:type="paragraph" w:styleId="Heading5">
    <w:name w:val="heading 5"/>
    <w:basedOn w:val="NORMALFONTHEAD"/>
    <w:next w:val="BodyText"/>
    <w:link w:val="Heading5Char"/>
    <w:uiPriority w:val="6"/>
    <w:rsid w:val="00D64E48"/>
    <w:pPr>
      <w:spacing w:before="120" w:line="300" w:lineRule="exact"/>
      <w:ind w:right="-2419"/>
      <w:outlineLvl w:val="4"/>
    </w:pPr>
    <w:rPr>
      <w:rFonts w:asciiTheme="minorHAnsi" w:hAnsiTheme="minorHAnsi"/>
      <w:color w:val="7AAA6C" w:themeColor="background2"/>
      <w:sz w:val="24"/>
      <w:szCs w:val="26"/>
    </w:rPr>
  </w:style>
  <w:style w:type="paragraph" w:styleId="Heading6">
    <w:name w:val="heading 6"/>
    <w:basedOn w:val="Normal"/>
    <w:next w:val="Normal"/>
    <w:link w:val="Heading6Char"/>
    <w:uiPriority w:val="9"/>
    <w:semiHidden/>
    <w:rsid w:val="0085016C"/>
    <w:pPr>
      <w:keepNext/>
      <w:keepLines/>
      <w:spacing w:before="200" w:after="0"/>
      <w:outlineLvl w:val="5"/>
    </w:pPr>
    <w:rPr>
      <w:rFonts w:asciiTheme="majorHAnsi" w:eastAsiaTheme="majorEastAsia" w:hAnsiTheme="majorHAnsi" w:cstheme="majorBidi"/>
      <w:i/>
      <w:iCs/>
      <w:color w:val="24263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FONTBODYLETTERHEAD">
    <w:name w:val="•NORMAL FONT BODY LETTERHEAD"/>
    <w:basedOn w:val="NORMALFONTBODY"/>
    <w:semiHidden/>
    <w:rsid w:val="0085016C"/>
    <w:rPr>
      <w:sz w:val="16"/>
    </w:rPr>
  </w:style>
  <w:style w:type="paragraph" w:styleId="Footer">
    <w:name w:val="footer"/>
    <w:link w:val="FooterChar"/>
    <w:uiPriority w:val="99"/>
    <w:rsid w:val="00271906"/>
    <w:pPr>
      <w:tabs>
        <w:tab w:val="center" w:pos="7920"/>
        <w:tab w:val="right" w:pos="15768"/>
      </w:tabs>
      <w:spacing w:line="240" w:lineRule="exact"/>
      <w:ind w:right="-1872"/>
    </w:pPr>
    <w:rPr>
      <w:rFonts w:asciiTheme="majorHAnsi" w:hAnsiTheme="majorHAnsi"/>
      <w:color w:val="000000" w:themeColor="text1"/>
      <w:sz w:val="18"/>
      <w:szCs w:val="24"/>
    </w:rPr>
  </w:style>
  <w:style w:type="paragraph" w:styleId="Header">
    <w:name w:val="header"/>
    <w:link w:val="HeaderChar"/>
    <w:uiPriority w:val="99"/>
    <w:semiHidden/>
    <w:qFormat/>
    <w:rsid w:val="008A43CA"/>
    <w:pPr>
      <w:tabs>
        <w:tab w:val="right" w:pos="10800"/>
      </w:tabs>
    </w:pPr>
    <w:rPr>
      <w:rFonts w:asciiTheme="majorHAnsi" w:hAnsiTheme="majorHAnsi"/>
      <w:color w:val="7AAA6C" w:themeColor="background2"/>
      <w:sz w:val="16"/>
      <w:szCs w:val="24"/>
    </w:rPr>
  </w:style>
  <w:style w:type="paragraph" w:customStyle="1" w:styleId="ListAlpha">
    <w:name w:val="List Alpha"/>
    <w:basedOn w:val="NORMALFONTBODY"/>
    <w:uiPriority w:val="4"/>
    <w:rsid w:val="0070198E"/>
    <w:pPr>
      <w:numPr>
        <w:numId w:val="5"/>
      </w:numPr>
      <w:tabs>
        <w:tab w:val="left" w:pos="259"/>
      </w:tabs>
      <w:spacing w:before="60" w:line="300" w:lineRule="exact"/>
    </w:pPr>
    <w:rPr>
      <w:sz w:val="24"/>
    </w:rPr>
  </w:style>
  <w:style w:type="paragraph" w:styleId="BalloonText">
    <w:name w:val="Balloon Text"/>
    <w:basedOn w:val="Normal"/>
    <w:link w:val="BalloonTextChar"/>
    <w:uiPriority w:val="99"/>
    <w:semiHidden/>
    <w:rsid w:val="0085016C"/>
    <w:rPr>
      <w:rFonts w:cs="Tahoma"/>
      <w:sz w:val="16"/>
      <w:szCs w:val="16"/>
    </w:rPr>
  </w:style>
  <w:style w:type="table" w:styleId="TableGrid">
    <w:name w:val="Table Grid"/>
    <w:basedOn w:val="TableNormal"/>
    <w:uiPriority w:val="39"/>
    <w:rsid w:val="0085016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vAlign w:val="bottom"/>
      </w:tcPr>
    </w:tblStylePr>
  </w:style>
  <w:style w:type="character" w:customStyle="1" w:styleId="BalloonTextChar">
    <w:name w:val="Balloon Text Char"/>
    <w:basedOn w:val="DefaultParagraphFont"/>
    <w:link w:val="BalloonText"/>
    <w:uiPriority w:val="99"/>
    <w:semiHidden/>
    <w:rsid w:val="0085016C"/>
    <w:rPr>
      <w:rFonts w:cs="Tahoma"/>
      <w:sz w:val="16"/>
      <w:szCs w:val="16"/>
    </w:rPr>
  </w:style>
  <w:style w:type="paragraph" w:customStyle="1" w:styleId="LetterheadAddress">
    <w:name w:val="Letterhead Address"/>
    <w:basedOn w:val="NORMALFONTBODYLETTERHEAD"/>
    <w:uiPriority w:val="7"/>
    <w:semiHidden/>
    <w:rsid w:val="0085016C"/>
    <w:pPr>
      <w:spacing w:before="0" w:after="0"/>
    </w:pPr>
    <w:rPr>
      <w:rFonts w:ascii="Arial Narrow" w:hAnsi="Arial Narrow" w:cs="Arial"/>
    </w:rPr>
  </w:style>
  <w:style w:type="paragraph" w:styleId="BodyText">
    <w:name w:val="Body Text"/>
    <w:link w:val="BodyTextChar"/>
    <w:uiPriority w:val="1"/>
    <w:qFormat/>
    <w:rsid w:val="0056226C"/>
    <w:pPr>
      <w:tabs>
        <w:tab w:val="left" w:pos="2160"/>
      </w:tabs>
      <w:spacing w:before="120" w:after="120" w:line="252" w:lineRule="auto"/>
    </w:pPr>
    <w:rPr>
      <w:sz w:val="24"/>
      <w:szCs w:val="24"/>
    </w:rPr>
  </w:style>
  <w:style w:type="paragraph" w:styleId="ListBullet">
    <w:name w:val="List Bullet"/>
    <w:basedOn w:val="NORMALFONTBODY"/>
    <w:uiPriority w:val="3"/>
    <w:qFormat/>
    <w:rsid w:val="0070198E"/>
    <w:pPr>
      <w:numPr>
        <w:numId w:val="3"/>
      </w:numPr>
      <w:tabs>
        <w:tab w:val="left" w:pos="259"/>
      </w:tabs>
      <w:spacing w:before="60" w:line="300" w:lineRule="exact"/>
      <w:ind w:left="259" w:hanging="259"/>
    </w:pPr>
    <w:rPr>
      <w:sz w:val="24"/>
    </w:rPr>
  </w:style>
  <w:style w:type="paragraph" w:styleId="ListNumber">
    <w:name w:val="List Number"/>
    <w:basedOn w:val="NORMALFONTBODY"/>
    <w:uiPriority w:val="3"/>
    <w:rsid w:val="0070198E"/>
    <w:pPr>
      <w:numPr>
        <w:numId w:val="11"/>
      </w:numPr>
      <w:tabs>
        <w:tab w:val="left" w:pos="259"/>
      </w:tabs>
      <w:spacing w:before="60" w:line="300" w:lineRule="exact"/>
    </w:pPr>
    <w:rPr>
      <w:sz w:val="24"/>
    </w:rPr>
  </w:style>
  <w:style w:type="character" w:styleId="FootnoteReference">
    <w:name w:val="footnote reference"/>
    <w:basedOn w:val="DefaultParagraphFont"/>
    <w:uiPriority w:val="99"/>
    <w:semiHidden/>
    <w:rsid w:val="004C37AD"/>
    <w:rPr>
      <w:rFonts w:asciiTheme="minorHAnsi" w:hAnsiTheme="minorHAnsi"/>
      <w:kern w:val="0"/>
      <w:position w:val="0"/>
      <w:vertAlign w:val="superscript"/>
    </w:rPr>
  </w:style>
  <w:style w:type="paragraph" w:styleId="FootnoteText">
    <w:name w:val="footnote text"/>
    <w:basedOn w:val="Normal"/>
    <w:link w:val="FootnoteTextChar"/>
    <w:uiPriority w:val="99"/>
    <w:rsid w:val="004421AC"/>
    <w:pPr>
      <w:spacing w:before="40" w:after="0" w:line="180" w:lineRule="exact"/>
      <w:ind w:left="101" w:hanging="101"/>
    </w:pPr>
    <w:rPr>
      <w:color w:val="7F7F7F" w:themeColor="text1" w:themeTint="80"/>
      <w:sz w:val="14"/>
      <w:szCs w:val="20"/>
    </w:rPr>
  </w:style>
  <w:style w:type="paragraph" w:customStyle="1" w:styleId="ListNumberFootnote">
    <w:name w:val="List Number Footnote"/>
    <w:basedOn w:val="ListNumber"/>
    <w:uiPriority w:val="5"/>
    <w:semiHidden/>
    <w:unhideWhenUsed/>
    <w:rsid w:val="0085016C"/>
    <w:pPr>
      <w:numPr>
        <w:numId w:val="0"/>
      </w:numPr>
      <w:tabs>
        <w:tab w:val="left" w:pos="1800"/>
      </w:tabs>
    </w:pPr>
    <w:rPr>
      <w:sz w:val="14"/>
    </w:rPr>
  </w:style>
  <w:style w:type="paragraph" w:customStyle="1" w:styleId="Address">
    <w:name w:val="Address"/>
    <w:basedOn w:val="NORMALFONTBODY"/>
    <w:next w:val="Salutation"/>
    <w:uiPriority w:val="1"/>
    <w:semiHidden/>
    <w:rsid w:val="0085016C"/>
    <w:pPr>
      <w:tabs>
        <w:tab w:val="left" w:pos="576"/>
        <w:tab w:val="left" w:pos="864"/>
        <w:tab w:val="left" w:pos="1152"/>
      </w:tabs>
      <w:spacing w:before="0" w:after="0"/>
    </w:pPr>
    <w:rPr>
      <w:szCs w:val="18"/>
    </w:rPr>
  </w:style>
  <w:style w:type="paragraph" w:styleId="Salutation">
    <w:name w:val="Salutation"/>
    <w:basedOn w:val="NORMALFONTBODY"/>
    <w:next w:val="BodyText"/>
    <w:uiPriority w:val="1"/>
    <w:semiHidden/>
    <w:rsid w:val="0085016C"/>
    <w:pPr>
      <w:tabs>
        <w:tab w:val="left" w:pos="576"/>
        <w:tab w:val="left" w:pos="864"/>
        <w:tab w:val="left" w:pos="1152"/>
      </w:tabs>
      <w:spacing w:before="720"/>
    </w:pPr>
  </w:style>
  <w:style w:type="paragraph" w:styleId="ListContinue4">
    <w:name w:val="List Continue 4"/>
    <w:basedOn w:val="NORMALFONTBODY"/>
    <w:uiPriority w:val="5"/>
    <w:semiHidden/>
    <w:unhideWhenUsed/>
    <w:rsid w:val="0085016C"/>
    <w:pPr>
      <w:ind w:left="1440"/>
    </w:pPr>
  </w:style>
  <w:style w:type="character" w:customStyle="1" w:styleId="MemoPrefix">
    <w:name w:val="Memo Prefix"/>
    <w:basedOn w:val="DefaultParagraphFont"/>
    <w:uiPriority w:val="7"/>
    <w:semiHidden/>
    <w:rsid w:val="0085016C"/>
    <w:rPr>
      <w:rFonts w:asciiTheme="minorHAnsi" w:hAnsiTheme="minorHAnsi"/>
      <w:noProof/>
      <w:color w:val="404040" w:themeColor="background1" w:themeShade="80"/>
      <w:sz w:val="18"/>
      <w:szCs w:val="14"/>
    </w:rPr>
  </w:style>
  <w:style w:type="paragraph" w:customStyle="1" w:styleId="CC">
    <w:name w:val="CC"/>
    <w:basedOn w:val="DisclosureNotesorFigures"/>
    <w:uiPriority w:val="3"/>
    <w:semiHidden/>
    <w:rsid w:val="0085016C"/>
    <w:pPr>
      <w:spacing w:before="300"/>
    </w:pPr>
  </w:style>
  <w:style w:type="paragraph" w:styleId="Closing">
    <w:name w:val="Closing"/>
    <w:basedOn w:val="NORMALFONTBODY"/>
    <w:next w:val="Normal"/>
    <w:uiPriority w:val="2"/>
    <w:semiHidden/>
    <w:rsid w:val="0085016C"/>
    <w:pPr>
      <w:tabs>
        <w:tab w:val="left" w:pos="576"/>
        <w:tab w:val="left" w:pos="864"/>
        <w:tab w:val="left" w:pos="1152"/>
      </w:tabs>
      <w:spacing w:before="360" w:after="960" w:line="240" w:lineRule="auto"/>
    </w:pPr>
  </w:style>
  <w:style w:type="paragraph" w:styleId="Signature">
    <w:name w:val="Signature"/>
    <w:basedOn w:val="NORMALFONTBODY"/>
    <w:uiPriority w:val="2"/>
    <w:semiHidden/>
    <w:rsid w:val="0085016C"/>
    <w:pPr>
      <w:spacing w:after="360"/>
    </w:pPr>
  </w:style>
  <w:style w:type="paragraph" w:styleId="Date">
    <w:name w:val="Date"/>
    <w:basedOn w:val="NORMALFONTHEAD"/>
    <w:next w:val="Normal"/>
    <w:uiPriority w:val="98"/>
    <w:semiHidden/>
    <w:rsid w:val="001E1C52"/>
    <w:pPr>
      <w:spacing w:before="40" w:after="840" w:line="240" w:lineRule="exact"/>
      <w:jc w:val="right"/>
    </w:pPr>
  </w:style>
  <w:style w:type="paragraph" w:customStyle="1" w:styleId="MemoHeader">
    <w:name w:val="Memo Header"/>
    <w:basedOn w:val="BodyText"/>
    <w:uiPriority w:val="7"/>
    <w:semiHidden/>
    <w:rsid w:val="0085016C"/>
    <w:pPr>
      <w:tabs>
        <w:tab w:val="left" w:pos="576"/>
        <w:tab w:val="left" w:pos="864"/>
        <w:tab w:val="left" w:pos="1152"/>
      </w:tabs>
      <w:spacing w:after="0"/>
      <w:ind w:left="576" w:hanging="576"/>
    </w:pPr>
    <w:rPr>
      <w:caps/>
      <w:sz w:val="14"/>
    </w:rPr>
  </w:style>
  <w:style w:type="paragraph" w:customStyle="1" w:styleId="DisclosureNotesorFigures">
    <w:name w:val="Disclosure: Notes or Figures"/>
    <w:basedOn w:val="Footer"/>
    <w:uiPriority w:val="6"/>
    <w:semiHidden/>
    <w:rsid w:val="007A1EE5"/>
    <w:pPr>
      <w:spacing w:before="120" w:after="40" w:line="180" w:lineRule="exact"/>
    </w:pPr>
    <w:rPr>
      <w:rFonts w:asciiTheme="minorHAnsi" w:hAnsiTheme="minorHAnsi"/>
      <w:b/>
      <w:color w:val="FFFFFF" w:themeColor="text2"/>
      <w:sz w:val="16"/>
    </w:rPr>
  </w:style>
  <w:style w:type="paragraph" w:styleId="ListBullet2">
    <w:name w:val="List Bullet 2"/>
    <w:basedOn w:val="ListBullet"/>
    <w:uiPriority w:val="3"/>
    <w:qFormat/>
    <w:rsid w:val="007A1EE5"/>
    <w:pPr>
      <w:numPr>
        <w:numId w:val="7"/>
      </w:numPr>
      <w:tabs>
        <w:tab w:val="clear" w:pos="259"/>
        <w:tab w:val="left" w:pos="518"/>
      </w:tabs>
      <w:spacing w:before="120"/>
      <w:ind w:left="518" w:hanging="259"/>
    </w:pPr>
  </w:style>
  <w:style w:type="paragraph" w:styleId="ListBullet3">
    <w:name w:val="List Bullet 3"/>
    <w:basedOn w:val="ListBullet2"/>
    <w:uiPriority w:val="2"/>
    <w:semiHidden/>
    <w:rsid w:val="0085016C"/>
    <w:pPr>
      <w:numPr>
        <w:numId w:val="8"/>
      </w:numPr>
    </w:pPr>
  </w:style>
  <w:style w:type="paragraph" w:styleId="ListBullet4">
    <w:name w:val="List Bullet 4"/>
    <w:basedOn w:val="NORMALFONTBODY"/>
    <w:uiPriority w:val="5"/>
    <w:semiHidden/>
    <w:unhideWhenUsed/>
    <w:rsid w:val="0085016C"/>
    <w:pPr>
      <w:numPr>
        <w:numId w:val="9"/>
      </w:numPr>
      <w:tabs>
        <w:tab w:val="left" w:pos="1800"/>
      </w:tabs>
    </w:pPr>
  </w:style>
  <w:style w:type="paragraph" w:styleId="ListBullet5">
    <w:name w:val="List Bullet 5"/>
    <w:basedOn w:val="NORMALFONTBODY"/>
    <w:uiPriority w:val="5"/>
    <w:semiHidden/>
    <w:unhideWhenUsed/>
    <w:rsid w:val="0085016C"/>
    <w:pPr>
      <w:numPr>
        <w:numId w:val="10"/>
      </w:numPr>
    </w:pPr>
  </w:style>
  <w:style w:type="paragraph" w:customStyle="1" w:styleId="NORMALFONTBODY">
    <w:name w:val="•NORMAL FONT BODY"/>
    <w:basedOn w:val="Normal"/>
    <w:semiHidden/>
    <w:rsid w:val="00FE5495"/>
    <w:pPr>
      <w:spacing w:line="288" w:lineRule="auto"/>
    </w:pPr>
    <w:rPr>
      <w:sz w:val="18"/>
    </w:rPr>
  </w:style>
  <w:style w:type="paragraph" w:customStyle="1" w:styleId="NORMALFONTHEAD">
    <w:name w:val="•NORMAL FONT HEAD"/>
    <w:basedOn w:val="Normal"/>
    <w:next w:val="Normal"/>
    <w:semiHidden/>
    <w:rsid w:val="00B66B1D"/>
    <w:pPr>
      <w:tabs>
        <w:tab w:val="left" w:pos="230"/>
        <w:tab w:val="left" w:pos="475"/>
        <w:tab w:val="left" w:pos="720"/>
        <w:tab w:val="left" w:pos="965"/>
        <w:tab w:val="left" w:pos="1210"/>
        <w:tab w:val="left" w:pos="1440"/>
      </w:tabs>
    </w:pPr>
    <w:rPr>
      <w:rFonts w:asciiTheme="majorHAnsi" w:hAnsiTheme="majorHAnsi"/>
      <w:spacing w:val="-5"/>
      <w:sz w:val="18"/>
    </w:rPr>
  </w:style>
  <w:style w:type="paragraph" w:customStyle="1" w:styleId="ListAlpha2">
    <w:name w:val="List Alpha 2"/>
    <w:basedOn w:val="ListAlpha"/>
    <w:uiPriority w:val="4"/>
    <w:rsid w:val="00597789"/>
    <w:pPr>
      <w:numPr>
        <w:numId w:val="6"/>
      </w:numPr>
      <w:tabs>
        <w:tab w:val="clear" w:pos="259"/>
        <w:tab w:val="clear" w:pos="1440"/>
        <w:tab w:val="left" w:pos="518"/>
      </w:tabs>
      <w:ind w:left="518" w:hanging="259"/>
    </w:pPr>
  </w:style>
  <w:style w:type="paragraph" w:styleId="Bibliography">
    <w:name w:val="Bibliography"/>
    <w:basedOn w:val="NORMALFONTBODY"/>
    <w:next w:val="Normal"/>
    <w:uiPriority w:val="7"/>
    <w:semiHidden/>
    <w:unhideWhenUsed/>
    <w:rsid w:val="0085016C"/>
    <w:pPr>
      <w:spacing w:after="160" w:line="240" w:lineRule="auto"/>
    </w:pPr>
  </w:style>
  <w:style w:type="character" w:styleId="PageNumber">
    <w:name w:val="page number"/>
    <w:basedOn w:val="DefaultParagraphFont"/>
    <w:uiPriority w:val="9"/>
    <w:rsid w:val="004A6A87"/>
    <w:rPr>
      <w:rFonts w:asciiTheme="minorHAnsi" w:hAnsiTheme="minorHAnsi"/>
      <w:caps/>
      <w:smallCaps w:val="0"/>
      <w:color w:val="auto"/>
      <w:sz w:val="14"/>
    </w:rPr>
  </w:style>
  <w:style w:type="paragraph" w:customStyle="1" w:styleId="BodyTextAfterTableGraphicMoreSpaceBefore">
    <w:name w:val="Body Text After Table/Graphic (More Space Before)"/>
    <w:basedOn w:val="BodyText"/>
    <w:uiPriority w:val="2"/>
    <w:semiHidden/>
    <w:rsid w:val="0085016C"/>
    <w:pPr>
      <w:spacing w:before="240"/>
    </w:pPr>
  </w:style>
  <w:style w:type="paragraph" w:customStyle="1" w:styleId="BodyTextBeforeBulletLessSpaceAfter">
    <w:name w:val="Body Text Before Bullet (Less Space After)"/>
    <w:basedOn w:val="BodyText"/>
    <w:next w:val="ListBullet"/>
    <w:uiPriority w:val="5"/>
    <w:semiHidden/>
    <w:rsid w:val="0085016C"/>
    <w:pPr>
      <w:spacing w:after="60"/>
    </w:pPr>
  </w:style>
  <w:style w:type="paragraph" w:customStyle="1" w:styleId="BodyTextBeforeTableMoreSpaceAfter">
    <w:name w:val="Body Text Before Table (More Space After)"/>
    <w:basedOn w:val="BodyText"/>
    <w:next w:val="BodyText"/>
    <w:uiPriority w:val="2"/>
    <w:semiHidden/>
    <w:rsid w:val="004C45DD"/>
    <w:pPr>
      <w:keepNext/>
      <w:spacing w:after="240"/>
    </w:pPr>
  </w:style>
  <w:style w:type="paragraph" w:customStyle="1" w:styleId="BodyTextIndent1">
    <w:name w:val="Body Text Indent 1&quot;"/>
    <w:basedOn w:val="NORMALFONTBODY"/>
    <w:uiPriority w:val="5"/>
    <w:semiHidden/>
    <w:unhideWhenUsed/>
    <w:rsid w:val="0085016C"/>
    <w:pPr>
      <w:ind w:left="1440" w:hanging="1440"/>
    </w:pPr>
  </w:style>
  <w:style w:type="paragraph" w:customStyle="1" w:styleId="ResponseIndent">
    <w:name w:val="Response (Indent)"/>
    <w:basedOn w:val="BodyText"/>
    <w:next w:val="ListNumber"/>
    <w:uiPriority w:val="2"/>
    <w:semiHidden/>
    <w:rsid w:val="001C3D0A"/>
    <w:pPr>
      <w:tabs>
        <w:tab w:val="clear" w:pos="2160"/>
        <w:tab w:val="left" w:pos="259"/>
      </w:tabs>
      <w:spacing w:before="0" w:after="40"/>
      <w:ind w:left="259"/>
    </w:pPr>
    <w:rPr>
      <w:rFonts w:eastAsia="ヒラギノ角ゴ Pro W3"/>
    </w:rPr>
  </w:style>
  <w:style w:type="paragraph" w:customStyle="1" w:styleId="BodyTextIndent2">
    <w:name w:val="Body Text Indent 2&quot;"/>
    <w:basedOn w:val="NORMALFONTBODY"/>
    <w:uiPriority w:val="5"/>
    <w:semiHidden/>
    <w:unhideWhenUsed/>
    <w:rsid w:val="0085016C"/>
    <w:pPr>
      <w:ind w:left="2880" w:hanging="2880"/>
    </w:pPr>
  </w:style>
  <w:style w:type="paragraph" w:customStyle="1" w:styleId="BodyTextNoSpaceBefore">
    <w:name w:val="Body Text No Space Before"/>
    <w:basedOn w:val="BodyText"/>
    <w:uiPriority w:val="5"/>
    <w:semiHidden/>
    <w:unhideWhenUsed/>
    <w:rsid w:val="0085016C"/>
    <w:pPr>
      <w:spacing w:before="0"/>
    </w:pPr>
  </w:style>
  <w:style w:type="paragraph" w:customStyle="1" w:styleId="BodyTextWrap">
    <w:name w:val="Body Text Wrap"/>
    <w:basedOn w:val="NORMALFONTBODY"/>
    <w:uiPriority w:val="5"/>
    <w:semiHidden/>
    <w:unhideWhenUsed/>
    <w:qFormat/>
    <w:rsid w:val="0085016C"/>
    <w:pPr>
      <w:spacing w:before="0" w:after="0"/>
    </w:pPr>
  </w:style>
  <w:style w:type="paragraph" w:customStyle="1" w:styleId="Callout">
    <w:name w:val="Callout"/>
    <w:next w:val="Normal"/>
    <w:uiPriority w:val="5"/>
    <w:semiHidden/>
    <w:unhideWhenUsed/>
    <w:rsid w:val="0085016C"/>
    <w:pPr>
      <w:pBdr>
        <w:top w:val="single" w:sz="36" w:space="8" w:color="FFFFFF" w:themeColor="text2"/>
        <w:bottom w:val="single" w:sz="12" w:space="8" w:color="FFFFFF" w:themeColor="text2"/>
      </w:pBdr>
      <w:tabs>
        <w:tab w:val="left" w:pos="230"/>
        <w:tab w:val="left" w:pos="475"/>
        <w:tab w:val="left" w:pos="720"/>
        <w:tab w:val="left" w:pos="965"/>
        <w:tab w:val="left" w:pos="1210"/>
        <w:tab w:val="left" w:pos="1440"/>
      </w:tabs>
      <w:spacing w:before="240" w:after="360" w:line="216" w:lineRule="auto"/>
    </w:pPr>
    <w:rPr>
      <w:i/>
      <w:color w:val="FFFFFF" w:themeColor="text2"/>
      <w:sz w:val="32"/>
      <w:szCs w:val="24"/>
    </w:rPr>
  </w:style>
  <w:style w:type="paragraph" w:customStyle="1" w:styleId="Callout1">
    <w:name w:val="Callout 1"/>
    <w:basedOn w:val="NORMALFONTBODY"/>
    <w:uiPriority w:val="5"/>
    <w:semiHidden/>
    <w:unhideWhenUsed/>
    <w:rsid w:val="0085016C"/>
    <w:pPr>
      <w:shd w:val="clear" w:color="7D6955" w:fill="auto"/>
      <w:spacing w:after="240"/>
      <w:ind w:left="720" w:right="432"/>
    </w:pPr>
    <w:rPr>
      <w:i/>
      <w:color w:val="003C69"/>
      <w:sz w:val="32"/>
    </w:rPr>
  </w:style>
  <w:style w:type="paragraph" w:customStyle="1" w:styleId="Callout2">
    <w:name w:val="Callout 2"/>
    <w:basedOn w:val="Callout1"/>
    <w:uiPriority w:val="5"/>
    <w:semiHidden/>
    <w:unhideWhenUsed/>
    <w:rsid w:val="0085016C"/>
    <w:pPr>
      <w:spacing w:line="240" w:lineRule="auto"/>
      <w:ind w:left="144" w:right="144"/>
    </w:pPr>
  </w:style>
  <w:style w:type="paragraph" w:customStyle="1" w:styleId="ImageCaptionText">
    <w:name w:val="Image Caption Text"/>
    <w:basedOn w:val="BodyText"/>
    <w:uiPriority w:val="5"/>
    <w:semiHidden/>
    <w:unhideWhenUsed/>
    <w:rsid w:val="0085016C"/>
    <w:pPr>
      <w:spacing w:before="200" w:line="240" w:lineRule="auto"/>
      <w:ind w:right="144"/>
    </w:pPr>
    <w:rPr>
      <w:i/>
      <w:sz w:val="14"/>
    </w:rPr>
  </w:style>
  <w:style w:type="paragraph" w:customStyle="1" w:styleId="ImageCaptionTextSpaceAfter">
    <w:name w:val="Image Caption Text Space After"/>
    <w:basedOn w:val="ImageCaptionText"/>
    <w:uiPriority w:val="5"/>
    <w:semiHidden/>
    <w:unhideWhenUsed/>
    <w:rsid w:val="0085016C"/>
    <w:pPr>
      <w:spacing w:after="400"/>
    </w:pPr>
    <w:rPr>
      <w:szCs w:val="14"/>
    </w:rPr>
  </w:style>
  <w:style w:type="paragraph" w:styleId="Caption">
    <w:name w:val="caption"/>
    <w:next w:val="BodyText"/>
    <w:uiPriority w:val="8"/>
    <w:unhideWhenUsed/>
    <w:qFormat/>
    <w:rsid w:val="00FB308E"/>
    <w:pPr>
      <w:spacing w:before="100" w:after="100"/>
      <w:ind w:left="360"/>
    </w:pPr>
    <w:rPr>
      <w:i/>
      <w:sz w:val="14"/>
      <w:szCs w:val="14"/>
    </w:rPr>
  </w:style>
  <w:style w:type="paragraph" w:customStyle="1" w:styleId="CommitteeFirst">
    <w:name w:val="Committee First"/>
    <w:basedOn w:val="BodyText"/>
    <w:uiPriority w:val="5"/>
    <w:semiHidden/>
    <w:unhideWhenUsed/>
    <w:rsid w:val="0085016C"/>
    <w:pPr>
      <w:keepLines/>
      <w:spacing w:before="360" w:after="0"/>
    </w:pPr>
    <w:rPr>
      <w:color w:val="003C69"/>
      <w:sz w:val="17"/>
    </w:rPr>
  </w:style>
  <w:style w:type="paragraph" w:styleId="CommentText">
    <w:name w:val="annotation text"/>
    <w:basedOn w:val="CommitteeFirst"/>
    <w:link w:val="CommentTextChar"/>
    <w:uiPriority w:val="99"/>
    <w:semiHidden/>
    <w:unhideWhenUsed/>
    <w:rsid w:val="0085016C"/>
    <w:pPr>
      <w:spacing w:before="0"/>
    </w:pPr>
    <w:rPr>
      <w:sz w:val="20"/>
      <w:szCs w:val="20"/>
    </w:rPr>
  </w:style>
  <w:style w:type="character" w:customStyle="1" w:styleId="CommentTextChar">
    <w:name w:val="Comment Text Char"/>
    <w:basedOn w:val="DefaultParagraphFont"/>
    <w:link w:val="CommentText"/>
    <w:uiPriority w:val="99"/>
    <w:semiHidden/>
    <w:rsid w:val="0085016C"/>
    <w:rPr>
      <w:color w:val="003C69"/>
    </w:rPr>
  </w:style>
  <w:style w:type="paragraph" w:customStyle="1" w:styleId="CommitteFirstBold">
    <w:name w:val="Committe First Bold"/>
    <w:basedOn w:val="CommitteeFirst"/>
    <w:uiPriority w:val="5"/>
    <w:semiHidden/>
    <w:unhideWhenUsed/>
    <w:rsid w:val="0085016C"/>
    <w:rPr>
      <w:b/>
    </w:rPr>
  </w:style>
  <w:style w:type="paragraph" w:customStyle="1" w:styleId="CommitteeFirstBold">
    <w:name w:val="Committee First Bold"/>
    <w:basedOn w:val="CommitteeFirst"/>
    <w:uiPriority w:val="5"/>
    <w:semiHidden/>
    <w:unhideWhenUsed/>
    <w:rsid w:val="0085016C"/>
    <w:rPr>
      <w:b/>
      <w:color w:val="005293"/>
    </w:rPr>
  </w:style>
  <w:style w:type="paragraph" w:customStyle="1" w:styleId="CommitteeText">
    <w:name w:val="Committee Text"/>
    <w:basedOn w:val="CommitteeFirst"/>
    <w:uiPriority w:val="5"/>
    <w:semiHidden/>
    <w:unhideWhenUsed/>
    <w:rsid w:val="0085016C"/>
    <w:pPr>
      <w:spacing w:before="0"/>
    </w:pPr>
  </w:style>
  <w:style w:type="character" w:customStyle="1" w:styleId="CoverCustomerCityStateUnbold">
    <w:name w:val="Cover Customer City State Unbold"/>
    <w:basedOn w:val="DefaultParagraphFont"/>
    <w:uiPriority w:val="7"/>
    <w:semiHidden/>
    <w:unhideWhenUsed/>
    <w:rsid w:val="0085016C"/>
    <w:rPr>
      <w:rFonts w:asciiTheme="minorHAnsi" w:hAnsiTheme="minorHAnsi" w:cstheme="minorHAnsi"/>
    </w:rPr>
  </w:style>
  <w:style w:type="paragraph" w:customStyle="1" w:styleId="CoverCustomerHeader">
    <w:name w:val="Cover Customer Header"/>
    <w:basedOn w:val="NORMALFONTHEAD"/>
    <w:uiPriority w:val="5"/>
    <w:semiHidden/>
    <w:unhideWhenUsed/>
    <w:rsid w:val="0085016C"/>
    <w:pPr>
      <w:tabs>
        <w:tab w:val="clear" w:pos="475"/>
      </w:tabs>
      <w:ind w:left="461" w:right="72"/>
    </w:pPr>
    <w:rPr>
      <w:color w:val="0064B4"/>
      <w:sz w:val="56"/>
      <w:szCs w:val="18"/>
    </w:rPr>
  </w:style>
  <w:style w:type="paragraph" w:styleId="Title">
    <w:name w:val="Title"/>
    <w:next w:val="BodyText"/>
    <w:link w:val="TitleChar"/>
    <w:uiPriority w:val="10"/>
    <w:rsid w:val="008A43CA"/>
    <w:pPr>
      <w:spacing w:after="40" w:line="420" w:lineRule="exact"/>
    </w:pPr>
    <w:rPr>
      <w:rFonts w:asciiTheme="majorHAnsi" w:hAnsiTheme="majorHAnsi"/>
      <w:sz w:val="36"/>
      <w:szCs w:val="24"/>
    </w:rPr>
  </w:style>
  <w:style w:type="character" w:customStyle="1" w:styleId="TitleChar">
    <w:name w:val="Title Char"/>
    <w:basedOn w:val="DefaultParagraphFont"/>
    <w:link w:val="Title"/>
    <w:uiPriority w:val="10"/>
    <w:rsid w:val="008A43CA"/>
    <w:rPr>
      <w:rFonts w:asciiTheme="majorHAnsi" w:hAnsiTheme="majorHAnsi"/>
      <w:sz w:val="36"/>
      <w:szCs w:val="24"/>
    </w:rPr>
  </w:style>
  <w:style w:type="paragraph" w:customStyle="1" w:styleId="CoverHeaderNotBold">
    <w:name w:val="Cover Header Not Bold"/>
    <w:basedOn w:val="Title"/>
    <w:uiPriority w:val="5"/>
    <w:semiHidden/>
    <w:unhideWhenUsed/>
    <w:rsid w:val="0085016C"/>
    <w:pPr>
      <w:spacing w:after="0"/>
    </w:pPr>
    <w:rPr>
      <w:b/>
      <w:color w:val="0064B4"/>
    </w:rPr>
  </w:style>
  <w:style w:type="paragraph" w:customStyle="1" w:styleId="CoverPublicationInfoDate">
    <w:name w:val="Cover Publication Info &amp; Date"/>
    <w:basedOn w:val="Date"/>
    <w:uiPriority w:val="5"/>
    <w:semiHidden/>
    <w:unhideWhenUsed/>
    <w:rsid w:val="0085016C"/>
    <w:pPr>
      <w:tabs>
        <w:tab w:val="left" w:pos="90"/>
        <w:tab w:val="left" w:pos="1800"/>
      </w:tabs>
      <w:spacing w:before="200" w:after="100"/>
      <w:ind w:left="446" w:right="360"/>
    </w:pPr>
    <w:rPr>
      <w:caps/>
      <w:sz w:val="28"/>
    </w:rPr>
  </w:style>
  <w:style w:type="character" w:customStyle="1" w:styleId="CrossReference">
    <w:name w:val="Cross Reference"/>
    <w:basedOn w:val="DefaultParagraphFont"/>
    <w:uiPriority w:val="8"/>
    <w:semiHidden/>
    <w:unhideWhenUsed/>
    <w:rsid w:val="0085016C"/>
    <w:rPr>
      <w:rFonts w:asciiTheme="minorHAnsi" w:hAnsiTheme="minorHAnsi"/>
      <w:color w:val="BFBFBF" w:themeColor="text2" w:themeShade="BF"/>
      <w:sz w:val="20"/>
      <w:u w:val="none"/>
    </w:rPr>
  </w:style>
  <w:style w:type="character" w:styleId="EndnoteReference">
    <w:name w:val="endnote reference"/>
    <w:uiPriority w:val="8"/>
    <w:semiHidden/>
    <w:unhideWhenUsed/>
    <w:rsid w:val="0085016C"/>
    <w:rPr>
      <w:vertAlign w:val="superscript"/>
    </w:rPr>
  </w:style>
  <w:style w:type="paragraph" w:styleId="EndnoteText">
    <w:name w:val="endnote text"/>
    <w:basedOn w:val="Normal"/>
    <w:link w:val="EndnoteTextChar"/>
    <w:uiPriority w:val="7"/>
    <w:semiHidden/>
    <w:unhideWhenUsed/>
    <w:rsid w:val="0085016C"/>
    <w:pPr>
      <w:spacing w:line="240" w:lineRule="auto"/>
    </w:pPr>
    <w:rPr>
      <w:szCs w:val="20"/>
    </w:rPr>
  </w:style>
  <w:style w:type="character" w:customStyle="1" w:styleId="EndnoteTextChar">
    <w:name w:val="Endnote Text Char"/>
    <w:basedOn w:val="DefaultParagraphFont"/>
    <w:link w:val="EndnoteText"/>
    <w:uiPriority w:val="7"/>
    <w:semiHidden/>
    <w:rsid w:val="0085016C"/>
  </w:style>
  <w:style w:type="paragraph" w:customStyle="1" w:styleId="FootnoteItalicAdapted">
    <w:name w:val="Footnote Italic Adapted"/>
    <w:basedOn w:val="FootnoteText"/>
    <w:uiPriority w:val="5"/>
    <w:semiHidden/>
    <w:unhideWhenUsed/>
    <w:rsid w:val="0085016C"/>
    <w:pPr>
      <w:spacing w:after="240"/>
    </w:pPr>
    <w:rPr>
      <w:i/>
    </w:rPr>
  </w:style>
  <w:style w:type="paragraph" w:customStyle="1" w:styleId="FootnoteSeparator">
    <w:name w:val="Footnote Separator"/>
    <w:basedOn w:val="FootnoteText"/>
    <w:uiPriority w:val="5"/>
    <w:semiHidden/>
    <w:rsid w:val="00C95E42"/>
    <w:pPr>
      <w:spacing w:before="0"/>
    </w:pPr>
    <w:rPr>
      <w:sz w:val="2"/>
    </w:rPr>
  </w:style>
  <w:style w:type="table" w:customStyle="1" w:styleId="SSGATable1">
    <w:name w:val="SSGA Table 1"/>
    <w:basedOn w:val="TableNormal"/>
    <w:uiPriority w:val="99"/>
    <w:rsid w:val="00C20ED1"/>
    <w:tblPr>
      <w:tblInd w:w="360" w:type="dxa"/>
      <w:tblBorders>
        <w:bottom w:val="single" w:sz="4" w:space="0" w:color="808080"/>
        <w:insideH w:val="single" w:sz="4" w:space="0" w:color="CDCDCD"/>
      </w:tblBorders>
      <w:tblCellMar>
        <w:top w:w="43" w:type="dxa"/>
        <w:left w:w="43" w:type="dxa"/>
        <w:bottom w:w="43" w:type="dxa"/>
        <w:right w:w="43" w:type="dxa"/>
      </w:tblCellMar>
    </w:tblPr>
    <w:tcPr>
      <w:shd w:val="clear" w:color="auto" w:fill="auto"/>
      <w:tcMar>
        <w:left w:w="0" w:type="dxa"/>
        <w:right w:w="72" w:type="dxa"/>
      </w:tcMar>
    </w:tcPr>
    <w:tblStylePr w:type="firstRow">
      <w:pPr>
        <w:jc w:val="left"/>
      </w:pPr>
      <w:rPr>
        <w:b/>
      </w:rPr>
      <w:tblPr/>
      <w:tcPr>
        <w:tcBorders>
          <w:bottom w:val="single" w:sz="4" w:space="0" w:color="808080"/>
        </w:tcBorders>
      </w:tcPr>
    </w:tblStylePr>
    <w:tblStylePr w:type="lastRow">
      <w:rPr>
        <w:b/>
      </w:rPr>
      <w:tblPr/>
      <w:tcPr>
        <w:shd w:val="clear" w:color="auto" w:fill="CDCDCD"/>
      </w:tcPr>
    </w:tblStylePr>
  </w:style>
  <w:style w:type="character" w:customStyle="1" w:styleId="FootnoteTextChar">
    <w:name w:val="Footnote Text Char"/>
    <w:basedOn w:val="DefaultParagraphFont"/>
    <w:link w:val="FootnoteText"/>
    <w:uiPriority w:val="99"/>
    <w:rsid w:val="004421AC"/>
    <w:rPr>
      <w:color w:val="7F7F7F" w:themeColor="text1" w:themeTint="80"/>
      <w:sz w:val="14"/>
    </w:rPr>
  </w:style>
  <w:style w:type="paragraph" w:customStyle="1" w:styleId="Heading3Indent">
    <w:name w:val="Heading 3 Indent"/>
    <w:basedOn w:val="Heading3"/>
    <w:uiPriority w:val="5"/>
    <w:semiHidden/>
    <w:unhideWhenUsed/>
    <w:rsid w:val="0085016C"/>
    <w:pPr>
      <w:ind w:left="144"/>
    </w:pPr>
  </w:style>
  <w:style w:type="paragraph" w:customStyle="1" w:styleId="Heading3SpaceAfter">
    <w:name w:val="Heading 3 Space After"/>
    <w:basedOn w:val="Heading3"/>
    <w:uiPriority w:val="5"/>
    <w:semiHidden/>
    <w:unhideWhenUsed/>
    <w:rsid w:val="0085016C"/>
    <w:pPr>
      <w:spacing w:after="240"/>
    </w:pPr>
  </w:style>
  <w:style w:type="character" w:styleId="Hyperlink">
    <w:name w:val="Hyperlink"/>
    <w:basedOn w:val="DefaultParagraphFont"/>
    <w:uiPriority w:val="99"/>
    <w:semiHidden/>
    <w:unhideWhenUsed/>
    <w:rsid w:val="001A2811"/>
    <w:rPr>
      <w:color w:val="2C639E" w:themeColor="hyperlink"/>
      <w:u w:val="none"/>
    </w:rPr>
  </w:style>
  <w:style w:type="paragraph" w:customStyle="1" w:styleId="ImageInsert">
    <w:name w:val="Image Insert"/>
    <w:basedOn w:val="Normal"/>
    <w:uiPriority w:val="5"/>
    <w:semiHidden/>
    <w:unhideWhenUsed/>
    <w:rsid w:val="0085016C"/>
    <w:pPr>
      <w:spacing w:before="40"/>
    </w:pPr>
    <w:rPr>
      <w:b/>
      <w:szCs w:val="14"/>
    </w:rPr>
  </w:style>
  <w:style w:type="paragraph" w:styleId="List">
    <w:name w:val="List"/>
    <w:basedOn w:val="NORMALFONTBODY"/>
    <w:uiPriority w:val="5"/>
    <w:semiHidden/>
    <w:rsid w:val="0085016C"/>
    <w:pPr>
      <w:ind w:left="360" w:hanging="360"/>
    </w:pPr>
  </w:style>
  <w:style w:type="paragraph" w:styleId="List2">
    <w:name w:val="List 2"/>
    <w:basedOn w:val="NORMALFONTBODY"/>
    <w:uiPriority w:val="5"/>
    <w:semiHidden/>
    <w:rsid w:val="0085016C"/>
    <w:pPr>
      <w:ind w:left="720" w:hanging="360"/>
      <w:contextualSpacing/>
    </w:pPr>
  </w:style>
  <w:style w:type="paragraph" w:styleId="ListContinue">
    <w:name w:val="List Continue"/>
    <w:basedOn w:val="NORMALFONTBODY"/>
    <w:uiPriority w:val="4"/>
    <w:semiHidden/>
    <w:rsid w:val="001C3D0A"/>
    <w:pPr>
      <w:tabs>
        <w:tab w:val="left" w:pos="259"/>
      </w:tabs>
      <w:spacing w:before="60" w:after="60" w:line="252" w:lineRule="auto"/>
      <w:ind w:left="259"/>
    </w:pPr>
    <w:rPr>
      <w:sz w:val="22"/>
    </w:rPr>
  </w:style>
  <w:style w:type="paragraph" w:styleId="ListContinue2">
    <w:name w:val="List Continue 2"/>
    <w:basedOn w:val="ListContinue"/>
    <w:uiPriority w:val="4"/>
    <w:semiHidden/>
    <w:rsid w:val="001A4C30"/>
    <w:pPr>
      <w:tabs>
        <w:tab w:val="clear" w:pos="259"/>
        <w:tab w:val="left" w:pos="518"/>
      </w:tabs>
      <w:ind w:left="518"/>
    </w:pPr>
  </w:style>
  <w:style w:type="paragraph" w:styleId="ListContinue3">
    <w:name w:val="List Continue 3"/>
    <w:basedOn w:val="ListContinue2"/>
    <w:uiPriority w:val="2"/>
    <w:semiHidden/>
    <w:rsid w:val="0085016C"/>
    <w:pPr>
      <w:ind w:left="1080"/>
    </w:pPr>
  </w:style>
  <w:style w:type="paragraph" w:styleId="ListContinue5">
    <w:name w:val="List Continue 5"/>
    <w:basedOn w:val="NORMALFONTBODY"/>
    <w:uiPriority w:val="5"/>
    <w:semiHidden/>
    <w:unhideWhenUsed/>
    <w:rsid w:val="0085016C"/>
    <w:pPr>
      <w:ind w:left="1800"/>
    </w:pPr>
  </w:style>
  <w:style w:type="paragraph" w:styleId="ListNumber2">
    <w:name w:val="List Number 2"/>
    <w:basedOn w:val="ListNumber"/>
    <w:uiPriority w:val="3"/>
    <w:rsid w:val="00FB308E"/>
    <w:pPr>
      <w:numPr>
        <w:numId w:val="12"/>
      </w:numPr>
      <w:tabs>
        <w:tab w:val="clear" w:pos="259"/>
      </w:tabs>
      <w:spacing w:before="120"/>
    </w:pPr>
  </w:style>
  <w:style w:type="paragraph" w:styleId="ListNumber3">
    <w:name w:val="List Number 3"/>
    <w:basedOn w:val="NORMALFONTBODY"/>
    <w:uiPriority w:val="5"/>
    <w:semiHidden/>
    <w:rsid w:val="0085016C"/>
    <w:pPr>
      <w:numPr>
        <w:numId w:val="13"/>
      </w:numPr>
    </w:pPr>
  </w:style>
  <w:style w:type="paragraph" w:styleId="ListNumber4">
    <w:name w:val="List Number 4"/>
    <w:basedOn w:val="NORMALFONTBODY"/>
    <w:uiPriority w:val="5"/>
    <w:semiHidden/>
    <w:rsid w:val="0085016C"/>
    <w:pPr>
      <w:numPr>
        <w:numId w:val="14"/>
      </w:numPr>
    </w:pPr>
  </w:style>
  <w:style w:type="paragraph" w:styleId="ListNumber5">
    <w:name w:val="List Number 5"/>
    <w:basedOn w:val="NORMALFONTBODY"/>
    <w:uiPriority w:val="5"/>
    <w:semiHidden/>
    <w:rsid w:val="0085016C"/>
    <w:pPr>
      <w:numPr>
        <w:numId w:val="15"/>
      </w:numPr>
    </w:pPr>
  </w:style>
  <w:style w:type="table" w:styleId="MediumGrid1-Accent6">
    <w:name w:val="Medium Grid 1 Accent 6"/>
    <w:basedOn w:val="TableNormal"/>
    <w:uiPriority w:val="67"/>
    <w:rsid w:val="0085016C"/>
    <w:tblPr>
      <w:tblStyleRowBandSize w:val="1"/>
      <w:tblStyleColBandSize w:val="1"/>
      <w:tblBorders>
        <w:top w:val="single" w:sz="8" w:space="0" w:color="EA9E53"/>
        <w:left w:val="single" w:sz="8" w:space="0" w:color="EA9E53"/>
        <w:bottom w:val="single" w:sz="8" w:space="0" w:color="EA9E53"/>
        <w:right w:val="single" w:sz="8" w:space="0" w:color="EA9E53"/>
        <w:insideH w:val="single" w:sz="8" w:space="0" w:color="EA9E53"/>
        <w:insideV w:val="single" w:sz="8" w:space="0" w:color="EA9E53"/>
      </w:tblBorders>
    </w:tblPr>
    <w:tcPr>
      <w:shd w:val="clear" w:color="auto" w:fill="F8DFC6"/>
    </w:tcPr>
    <w:tblStylePr w:type="firstRow">
      <w:rPr>
        <w:b/>
        <w:bCs/>
      </w:rPr>
    </w:tblStylePr>
    <w:tblStylePr w:type="lastRow">
      <w:rPr>
        <w:b/>
        <w:bCs/>
      </w:rPr>
      <w:tblPr/>
      <w:tcPr>
        <w:tcBorders>
          <w:top w:val="single" w:sz="18" w:space="0" w:color="EA9E53"/>
        </w:tcBorders>
      </w:tcPr>
    </w:tblStylePr>
    <w:tblStylePr w:type="firstCol">
      <w:rPr>
        <w:b/>
        <w:bCs/>
      </w:rPr>
    </w:tblStylePr>
    <w:tblStylePr w:type="lastCol">
      <w:rPr>
        <w:b/>
        <w:bCs/>
      </w:rPr>
    </w:tblStylePr>
    <w:tblStylePr w:type="band1Vert">
      <w:tblPr/>
      <w:tcPr>
        <w:shd w:val="clear" w:color="auto" w:fill="F1BE8C"/>
      </w:tcPr>
    </w:tblStylePr>
    <w:tblStylePr w:type="band1Horz">
      <w:tblPr/>
      <w:tcPr>
        <w:shd w:val="clear" w:color="auto" w:fill="F1BE8C"/>
      </w:tcPr>
    </w:tblStylePr>
  </w:style>
  <w:style w:type="paragraph" w:customStyle="1" w:styleId="NoteTextNumerical">
    <w:name w:val="Note Text Numerical"/>
    <w:basedOn w:val="FootnoteText"/>
    <w:uiPriority w:val="5"/>
    <w:semiHidden/>
    <w:unhideWhenUsed/>
    <w:rsid w:val="0085016C"/>
    <w:pPr>
      <w:numPr>
        <w:numId w:val="16"/>
      </w:numPr>
      <w:tabs>
        <w:tab w:val="left" w:pos="144"/>
      </w:tabs>
    </w:pPr>
  </w:style>
  <w:style w:type="paragraph" w:customStyle="1" w:styleId="NotesListNumber">
    <w:name w:val="Notes List Number"/>
    <w:basedOn w:val="DisclosureNotesorFigures"/>
    <w:uiPriority w:val="5"/>
    <w:semiHidden/>
    <w:unhideWhenUsed/>
    <w:rsid w:val="0085016C"/>
    <w:pPr>
      <w:numPr>
        <w:numId w:val="17"/>
      </w:numPr>
    </w:pPr>
  </w:style>
  <w:style w:type="paragraph" w:customStyle="1" w:styleId="PublicationInfo">
    <w:name w:val="Publication Info"/>
    <w:basedOn w:val="Date"/>
    <w:uiPriority w:val="5"/>
    <w:semiHidden/>
    <w:unhideWhenUsed/>
    <w:rsid w:val="0085016C"/>
    <w:pPr>
      <w:tabs>
        <w:tab w:val="left" w:pos="1800"/>
      </w:tabs>
      <w:spacing w:before="0"/>
      <w:ind w:right="360"/>
    </w:pPr>
    <w:rPr>
      <w:caps/>
      <w:color w:val="262626" w:themeColor="text1" w:themeTint="D9"/>
      <w:sz w:val="16"/>
    </w:rPr>
  </w:style>
  <w:style w:type="paragraph" w:customStyle="1" w:styleId="PublicationDate">
    <w:name w:val="Publication Date"/>
    <w:basedOn w:val="PublicationInfo"/>
    <w:uiPriority w:val="5"/>
    <w:semiHidden/>
    <w:unhideWhenUsed/>
    <w:rsid w:val="0085016C"/>
    <w:pPr>
      <w:spacing w:after="780"/>
    </w:pPr>
    <w:rPr>
      <w:i/>
      <w:caps w:val="0"/>
    </w:rPr>
  </w:style>
  <w:style w:type="paragraph" w:customStyle="1" w:styleId="ReportEndLine">
    <w:name w:val="Report End Line"/>
    <w:basedOn w:val="NORMALFONTHEAD"/>
    <w:uiPriority w:val="5"/>
    <w:semiHidden/>
    <w:qFormat/>
    <w:rsid w:val="0085016C"/>
    <w:pPr>
      <w:numPr>
        <w:numId w:val="18"/>
      </w:numPr>
      <w:pBdr>
        <w:bottom w:val="dashed" w:sz="4" w:space="1" w:color="003C69"/>
      </w:pBdr>
    </w:pPr>
    <w:rPr>
      <w:b/>
      <w:spacing w:val="0"/>
      <w:sz w:val="8"/>
    </w:rPr>
  </w:style>
  <w:style w:type="paragraph" w:customStyle="1" w:styleId="ReportInfoFirstLine">
    <w:name w:val="Report Info First Line"/>
    <w:basedOn w:val="NORMALFONTHEAD"/>
    <w:uiPriority w:val="5"/>
    <w:semiHidden/>
    <w:unhideWhenUsed/>
    <w:rsid w:val="0085016C"/>
    <w:pPr>
      <w:pBdr>
        <w:top w:val="dashed" w:sz="6" w:space="6" w:color="003C69"/>
      </w:pBdr>
      <w:spacing w:before="240"/>
    </w:pPr>
    <w:rPr>
      <w:color w:val="FFFFFF" w:themeColor="text2"/>
      <w:sz w:val="16"/>
    </w:rPr>
  </w:style>
  <w:style w:type="paragraph" w:customStyle="1" w:styleId="ReportInfoLastLine">
    <w:name w:val="Report Info Last Line"/>
    <w:basedOn w:val="ReportInfoFirstLine"/>
    <w:uiPriority w:val="5"/>
    <w:semiHidden/>
    <w:unhideWhenUsed/>
    <w:rsid w:val="0085016C"/>
    <w:pPr>
      <w:pBdr>
        <w:top w:val="none" w:sz="0" w:space="0" w:color="auto"/>
        <w:bottom w:val="dashed" w:sz="6" w:space="6" w:color="003C69"/>
      </w:pBdr>
      <w:spacing w:before="60"/>
    </w:pPr>
    <w:rPr>
      <w:b/>
    </w:rPr>
  </w:style>
  <w:style w:type="paragraph" w:customStyle="1" w:styleId="ReportInfoText">
    <w:name w:val="Report Info Text"/>
    <w:basedOn w:val="NORMALFONTHEAD"/>
    <w:uiPriority w:val="5"/>
    <w:semiHidden/>
    <w:unhideWhenUsed/>
    <w:rsid w:val="0085016C"/>
    <w:pPr>
      <w:spacing w:before="60"/>
    </w:pPr>
    <w:rPr>
      <w:b/>
      <w:color w:val="003C69"/>
      <w:sz w:val="16"/>
    </w:rPr>
  </w:style>
  <w:style w:type="paragraph" w:customStyle="1" w:styleId="SidebarHeader">
    <w:name w:val="Sidebar Header"/>
    <w:basedOn w:val="NORMALFONTHEAD"/>
    <w:uiPriority w:val="5"/>
    <w:semiHidden/>
    <w:unhideWhenUsed/>
    <w:rsid w:val="0085016C"/>
    <w:pPr>
      <w:spacing w:before="240"/>
      <w:ind w:left="86" w:right="-720"/>
    </w:pPr>
    <w:rPr>
      <w:caps/>
      <w:sz w:val="14"/>
    </w:rPr>
  </w:style>
  <w:style w:type="paragraph" w:customStyle="1" w:styleId="SidebarHeaderRuleAbove">
    <w:name w:val="Sidebar Header Rule Above"/>
    <w:basedOn w:val="SidebarHeader"/>
    <w:uiPriority w:val="5"/>
    <w:semiHidden/>
    <w:unhideWhenUsed/>
    <w:rsid w:val="0085016C"/>
    <w:pPr>
      <w:pBdr>
        <w:top w:val="single" w:sz="8" w:space="6" w:color="auto"/>
      </w:pBdr>
      <w:spacing w:before="60"/>
      <w:ind w:right="115"/>
    </w:pPr>
  </w:style>
  <w:style w:type="paragraph" w:customStyle="1" w:styleId="SidebarText">
    <w:name w:val="Sidebar Text"/>
    <w:basedOn w:val="NORMALFONTHEAD"/>
    <w:uiPriority w:val="5"/>
    <w:semiHidden/>
    <w:unhideWhenUsed/>
    <w:rsid w:val="0085016C"/>
    <w:pPr>
      <w:spacing w:before="40" w:after="100" w:line="288" w:lineRule="auto"/>
      <w:ind w:left="90" w:right="108"/>
    </w:pPr>
    <w:rPr>
      <w:b/>
      <w:sz w:val="15"/>
    </w:rPr>
  </w:style>
  <w:style w:type="paragraph" w:customStyle="1" w:styleId="SidebarTextItalic">
    <w:name w:val="Sidebar Text Italic"/>
    <w:basedOn w:val="SidebarText"/>
    <w:uiPriority w:val="5"/>
    <w:semiHidden/>
    <w:unhideWhenUsed/>
    <w:rsid w:val="0085016C"/>
    <w:pPr>
      <w:spacing w:before="100"/>
      <w:ind w:left="86" w:right="115"/>
    </w:pPr>
    <w:rPr>
      <w:i/>
    </w:rPr>
  </w:style>
  <w:style w:type="paragraph" w:customStyle="1" w:styleId="SignatureLine">
    <w:name w:val="Signature Line"/>
    <w:basedOn w:val="BodyText"/>
    <w:uiPriority w:val="5"/>
    <w:semiHidden/>
    <w:unhideWhenUsed/>
    <w:rsid w:val="0085016C"/>
    <w:pPr>
      <w:tabs>
        <w:tab w:val="left" w:pos="5760"/>
      </w:tabs>
      <w:spacing w:after="40"/>
    </w:pPr>
  </w:style>
  <w:style w:type="paragraph" w:customStyle="1" w:styleId="SignatureText">
    <w:name w:val="Signature Text"/>
    <w:basedOn w:val="DisclosureNotesorFigures"/>
    <w:uiPriority w:val="5"/>
    <w:semiHidden/>
    <w:unhideWhenUsed/>
    <w:rsid w:val="0085016C"/>
  </w:style>
  <w:style w:type="paragraph" w:customStyle="1" w:styleId="SummaryEndTableText">
    <w:name w:val="Summary/End Table Text"/>
    <w:basedOn w:val="SidebarText"/>
    <w:uiPriority w:val="5"/>
    <w:semiHidden/>
    <w:unhideWhenUsed/>
    <w:rsid w:val="0085016C"/>
    <w:pPr>
      <w:spacing w:line="264" w:lineRule="auto"/>
      <w:ind w:left="86" w:right="72"/>
    </w:pPr>
    <w:rPr>
      <w:color w:val="FFFFFF"/>
      <w:sz w:val="18"/>
    </w:rPr>
  </w:style>
  <w:style w:type="paragraph" w:customStyle="1" w:styleId="SummaryEndListBullet">
    <w:name w:val="Summary/End List Bullet"/>
    <w:basedOn w:val="SummaryEndTableText"/>
    <w:uiPriority w:val="6"/>
    <w:semiHidden/>
    <w:unhideWhenUsed/>
    <w:rsid w:val="0085016C"/>
    <w:pPr>
      <w:numPr>
        <w:numId w:val="19"/>
      </w:numPr>
      <w:tabs>
        <w:tab w:val="clear" w:pos="230"/>
        <w:tab w:val="clear" w:pos="475"/>
        <w:tab w:val="clear" w:pos="720"/>
        <w:tab w:val="clear" w:pos="965"/>
        <w:tab w:val="clear" w:pos="1210"/>
        <w:tab w:val="clear" w:pos="1440"/>
        <w:tab w:val="left" w:pos="432"/>
      </w:tabs>
      <w:spacing w:before="0"/>
    </w:pPr>
    <w:rPr>
      <w:rFonts w:asciiTheme="minorHAnsi" w:hAnsiTheme="minorHAnsi"/>
      <w:color w:val="FFFFFF" w:themeColor="text2"/>
    </w:rPr>
  </w:style>
  <w:style w:type="paragraph" w:customStyle="1" w:styleId="SummaryEndTableHeader">
    <w:name w:val="Summary/End Table Header"/>
    <w:basedOn w:val="SidebarHeader"/>
    <w:uiPriority w:val="6"/>
    <w:semiHidden/>
    <w:unhideWhenUsed/>
    <w:rsid w:val="0085016C"/>
    <w:pPr>
      <w:spacing w:before="100" w:after="100"/>
      <w:ind w:right="72"/>
    </w:pPr>
    <w:rPr>
      <w:b/>
      <w:caps w:val="0"/>
      <w:color w:val="FFFFFF" w:themeColor="text2"/>
      <w:sz w:val="24"/>
      <w:szCs w:val="18"/>
    </w:rPr>
  </w:style>
  <w:style w:type="character" w:customStyle="1" w:styleId="SummaryEndTableHyperlinkArialWhite">
    <w:name w:val="Summary/End Table Hyperlink Arial White"/>
    <w:basedOn w:val="DefaultParagraphFont"/>
    <w:uiPriority w:val="5"/>
    <w:semiHidden/>
    <w:unhideWhenUsed/>
    <w:rsid w:val="001A2811"/>
    <w:rPr>
      <w:rFonts w:asciiTheme="minorHAnsi" w:hAnsiTheme="minorHAnsi"/>
      <w:b w:val="0"/>
      <w:i w:val="0"/>
      <w:color w:val="FFFFFF"/>
      <w:szCs w:val="24"/>
      <w:u w:val="single" w:color="FFFFFF"/>
    </w:rPr>
  </w:style>
  <w:style w:type="paragraph" w:customStyle="1" w:styleId="SummaryEndTableSubheadALLCAPS">
    <w:name w:val="Summary/End Table Subhead ALL CAPS"/>
    <w:basedOn w:val="SummaryEndTableHeader"/>
    <w:uiPriority w:val="5"/>
    <w:semiHidden/>
    <w:unhideWhenUsed/>
    <w:rsid w:val="0085016C"/>
    <w:pPr>
      <w:spacing w:line="240" w:lineRule="auto"/>
    </w:pPr>
    <w:rPr>
      <w:caps/>
      <w:sz w:val="18"/>
    </w:rPr>
  </w:style>
  <w:style w:type="paragraph" w:customStyle="1" w:styleId="SummaryEndTableTextLessSpaceAfterBeforeBullet">
    <w:name w:val="Summary/End Table Text(Less Space After / Before Bullet)"/>
    <w:basedOn w:val="SummaryEndTableText"/>
    <w:uiPriority w:val="5"/>
    <w:semiHidden/>
    <w:unhideWhenUsed/>
    <w:rsid w:val="0085016C"/>
    <w:pPr>
      <w:spacing w:after="40"/>
    </w:pPr>
    <w:rPr>
      <w:rFonts w:asciiTheme="minorHAnsi" w:hAnsiTheme="minorHAnsi" w:cs="ArialMT"/>
      <w:szCs w:val="18"/>
    </w:rPr>
  </w:style>
  <w:style w:type="paragraph" w:customStyle="1" w:styleId="TableText">
    <w:name w:val="Table Text"/>
    <w:basedOn w:val="NORMALFONTBODY"/>
    <w:uiPriority w:val="4"/>
    <w:semiHidden/>
    <w:rsid w:val="001C3D0A"/>
    <w:pPr>
      <w:spacing w:before="30" w:after="30" w:line="240" w:lineRule="exact"/>
      <w:ind w:left="72" w:right="72"/>
    </w:pPr>
    <w:rPr>
      <w:sz w:val="22"/>
    </w:rPr>
  </w:style>
  <w:style w:type="paragraph" w:customStyle="1" w:styleId="TableColumnHeadALLCAPS">
    <w:name w:val="Table Column Head ALL CAPS"/>
    <w:basedOn w:val="TableText"/>
    <w:uiPriority w:val="5"/>
    <w:semiHidden/>
    <w:unhideWhenUsed/>
    <w:rsid w:val="0085016C"/>
    <w:rPr>
      <w:caps/>
    </w:rPr>
  </w:style>
  <w:style w:type="paragraph" w:customStyle="1" w:styleId="TableColumnHeadCentered">
    <w:name w:val="Table Column Head Centered"/>
    <w:basedOn w:val="Normal"/>
    <w:uiPriority w:val="5"/>
    <w:semiHidden/>
    <w:unhideWhenUsed/>
    <w:rsid w:val="0085016C"/>
    <w:pPr>
      <w:spacing w:before="20"/>
      <w:jc w:val="center"/>
    </w:pPr>
  </w:style>
  <w:style w:type="paragraph" w:customStyle="1" w:styleId="TableColumnLeft">
    <w:name w:val="Table Column Left"/>
    <w:basedOn w:val="Normal"/>
    <w:uiPriority w:val="5"/>
    <w:semiHidden/>
    <w:unhideWhenUsed/>
    <w:rsid w:val="0085016C"/>
    <w:pPr>
      <w:ind w:left="144"/>
    </w:pPr>
    <w:rPr>
      <w:rFonts w:eastAsia="Courier"/>
    </w:rPr>
  </w:style>
  <w:style w:type="paragraph" w:customStyle="1" w:styleId="TableHeading">
    <w:name w:val="Table Heading"/>
    <w:basedOn w:val="NORMALFONTBODY"/>
    <w:uiPriority w:val="4"/>
    <w:semiHidden/>
    <w:rsid w:val="001C3D0A"/>
    <w:pPr>
      <w:spacing w:before="120" w:after="60" w:line="260" w:lineRule="exact"/>
      <w:ind w:left="72" w:right="72"/>
    </w:pPr>
    <w:rPr>
      <w:rFonts w:cs="Arial"/>
      <w:b/>
      <w:bCs/>
      <w:sz w:val="22"/>
      <w:szCs w:val="15"/>
    </w:rPr>
  </w:style>
  <w:style w:type="paragraph" w:customStyle="1" w:styleId="TableSubtitle">
    <w:name w:val="Table Subtitle"/>
    <w:basedOn w:val="Normal"/>
    <w:uiPriority w:val="5"/>
    <w:semiHidden/>
    <w:unhideWhenUsed/>
    <w:rsid w:val="0085016C"/>
    <w:pPr>
      <w:tabs>
        <w:tab w:val="left" w:pos="230"/>
        <w:tab w:val="left" w:pos="475"/>
        <w:tab w:val="left" w:pos="720"/>
        <w:tab w:val="left" w:pos="965"/>
        <w:tab w:val="left" w:pos="1210"/>
        <w:tab w:val="left" w:pos="1440"/>
      </w:tabs>
      <w:spacing w:before="240" w:line="252" w:lineRule="auto"/>
      <w:ind w:left="144"/>
    </w:pPr>
    <w:rPr>
      <w:spacing w:val="-5"/>
      <w:sz w:val="17"/>
    </w:rPr>
  </w:style>
  <w:style w:type="paragraph" w:customStyle="1" w:styleId="TableTextItalics">
    <w:name w:val="Table Text Italics"/>
    <w:basedOn w:val="TableText"/>
    <w:uiPriority w:val="5"/>
    <w:semiHidden/>
    <w:unhideWhenUsed/>
    <w:rsid w:val="0085016C"/>
    <w:rPr>
      <w:b/>
      <w:bCs/>
      <w:i/>
      <w:sz w:val="12"/>
    </w:rPr>
  </w:style>
  <w:style w:type="paragraph" w:customStyle="1" w:styleId="TableTextRight">
    <w:name w:val="Table Text Right"/>
    <w:basedOn w:val="TableText"/>
    <w:uiPriority w:val="5"/>
    <w:semiHidden/>
    <w:unhideWhenUsed/>
    <w:rsid w:val="0085016C"/>
    <w:pPr>
      <w:jc w:val="right"/>
    </w:pPr>
  </w:style>
  <w:style w:type="paragraph" w:customStyle="1" w:styleId="TableTitle">
    <w:name w:val="Table Title"/>
    <w:basedOn w:val="NORMALFONTHEAD"/>
    <w:uiPriority w:val="5"/>
    <w:semiHidden/>
    <w:unhideWhenUsed/>
    <w:rsid w:val="0085016C"/>
    <w:pPr>
      <w:tabs>
        <w:tab w:val="left" w:pos="360"/>
        <w:tab w:val="left" w:pos="1080"/>
      </w:tabs>
      <w:spacing w:after="80"/>
      <w:ind w:left="72"/>
    </w:pPr>
    <w:rPr>
      <w:rFonts w:eastAsia="Courier"/>
      <w:b/>
      <w:sz w:val="17"/>
    </w:rPr>
  </w:style>
  <w:style w:type="paragraph" w:customStyle="1" w:styleId="ItineraryBodyText">
    <w:name w:val="Itinerary Body Text"/>
    <w:basedOn w:val="BodyText"/>
    <w:uiPriority w:val="7"/>
    <w:semiHidden/>
    <w:rsid w:val="0085016C"/>
    <w:pPr>
      <w:spacing w:before="0" w:after="0" w:line="336" w:lineRule="auto"/>
      <w:ind w:left="4320" w:hanging="4320"/>
    </w:pPr>
    <w:rPr>
      <w:szCs w:val="20"/>
    </w:rPr>
  </w:style>
  <w:style w:type="paragraph" w:customStyle="1" w:styleId="ItineraryHeading1Rule">
    <w:name w:val="Itinerary  Heading 1 Rule"/>
    <w:basedOn w:val="Heading1"/>
    <w:next w:val="ItineraryHeading2"/>
    <w:uiPriority w:val="7"/>
    <w:semiHidden/>
    <w:rsid w:val="0085016C"/>
    <w:pPr>
      <w:pBdr>
        <w:top w:val="single" w:sz="24" w:space="2" w:color="E5E5E5" w:themeColor="text1" w:themeTint="1A"/>
        <w:left w:val="single" w:sz="24" w:space="4" w:color="E5E5E5" w:themeColor="text1" w:themeTint="1A"/>
        <w:bottom w:val="single" w:sz="24" w:space="1" w:color="E5E5E5" w:themeColor="text1" w:themeTint="1A"/>
        <w:right w:val="single" w:sz="24" w:space="4" w:color="E5E5E5" w:themeColor="text1" w:themeTint="1A"/>
      </w:pBdr>
      <w:shd w:val="clear" w:color="auto" w:fill="E5E5E5" w:themeFill="text1" w:themeFillTint="1A"/>
      <w:tabs>
        <w:tab w:val="left" w:pos="1800"/>
        <w:tab w:val="left" w:pos="4320"/>
      </w:tabs>
      <w:spacing w:before="400" w:after="100"/>
      <w:ind w:left="173" w:right="173"/>
    </w:pPr>
    <w:rPr>
      <w:caps/>
      <w:spacing w:val="0"/>
      <w:kern w:val="32"/>
      <w:szCs w:val="20"/>
    </w:rPr>
  </w:style>
  <w:style w:type="paragraph" w:customStyle="1" w:styleId="ItineraryHeading2">
    <w:name w:val="Itinerary  Heading 2"/>
    <w:basedOn w:val="Heading2"/>
    <w:next w:val="ItineraryBodyText"/>
    <w:uiPriority w:val="7"/>
    <w:semiHidden/>
    <w:rsid w:val="0085016C"/>
    <w:pPr>
      <w:tabs>
        <w:tab w:val="left" w:pos="1973"/>
        <w:tab w:val="left" w:pos="4320"/>
      </w:tabs>
      <w:spacing w:after="100" w:line="336" w:lineRule="auto"/>
    </w:pPr>
    <w:rPr>
      <w:spacing w:val="0"/>
      <w:kern w:val="32"/>
    </w:rPr>
  </w:style>
  <w:style w:type="paragraph" w:customStyle="1" w:styleId="ItineraryListBullet">
    <w:name w:val="Itinerary List Bullet"/>
    <w:basedOn w:val="ListBullet"/>
    <w:uiPriority w:val="7"/>
    <w:semiHidden/>
    <w:rsid w:val="0085016C"/>
    <w:pPr>
      <w:numPr>
        <w:numId w:val="4"/>
      </w:numPr>
      <w:spacing w:before="0" w:after="0" w:line="336" w:lineRule="auto"/>
    </w:pPr>
    <w:rPr>
      <w:szCs w:val="20"/>
    </w:rPr>
  </w:style>
  <w:style w:type="character" w:customStyle="1" w:styleId="BodyTextChar">
    <w:name w:val="Body Text Char"/>
    <w:basedOn w:val="DefaultParagraphFont"/>
    <w:link w:val="BodyText"/>
    <w:uiPriority w:val="1"/>
    <w:rsid w:val="0056226C"/>
    <w:rPr>
      <w:sz w:val="24"/>
      <w:szCs w:val="24"/>
    </w:rPr>
  </w:style>
  <w:style w:type="paragraph" w:styleId="DocumentMap">
    <w:name w:val="Document Map"/>
    <w:basedOn w:val="Normal"/>
    <w:link w:val="DocumentMapChar"/>
    <w:uiPriority w:val="99"/>
    <w:semiHidden/>
    <w:unhideWhenUsed/>
    <w:rsid w:val="0085016C"/>
    <w:pPr>
      <w:spacing w:before="0"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85016C"/>
    <w:rPr>
      <w:rFonts w:cs="Tahoma"/>
      <w:sz w:val="16"/>
      <w:szCs w:val="16"/>
    </w:rPr>
  </w:style>
  <w:style w:type="character" w:styleId="HTMLCode">
    <w:name w:val="HTML Code"/>
    <w:basedOn w:val="DefaultParagraphFont"/>
    <w:uiPriority w:val="99"/>
    <w:semiHidden/>
    <w:unhideWhenUsed/>
    <w:rsid w:val="0085016C"/>
    <w:rPr>
      <w:rFonts w:ascii="Consolas" w:hAnsi="Consolas"/>
      <w:sz w:val="20"/>
      <w:szCs w:val="20"/>
    </w:rPr>
  </w:style>
  <w:style w:type="character" w:styleId="HTMLKeyboard">
    <w:name w:val="HTML Keyboard"/>
    <w:basedOn w:val="DefaultParagraphFont"/>
    <w:uiPriority w:val="99"/>
    <w:semiHidden/>
    <w:unhideWhenUsed/>
    <w:rsid w:val="0085016C"/>
    <w:rPr>
      <w:rFonts w:asciiTheme="minorHAnsi" w:hAnsiTheme="minorHAnsi"/>
      <w:sz w:val="20"/>
      <w:szCs w:val="20"/>
    </w:rPr>
  </w:style>
  <w:style w:type="character" w:styleId="HTMLAcronym">
    <w:name w:val="HTML Acronym"/>
    <w:basedOn w:val="DefaultParagraphFont"/>
    <w:uiPriority w:val="99"/>
    <w:semiHidden/>
    <w:unhideWhenUsed/>
    <w:rsid w:val="0085016C"/>
    <w:rPr>
      <w:rFonts w:ascii="Consolas" w:hAnsi="Consolas"/>
    </w:rPr>
  </w:style>
  <w:style w:type="paragraph" w:styleId="HTMLAddress">
    <w:name w:val="HTML Address"/>
    <w:basedOn w:val="Normal"/>
    <w:link w:val="HTMLAddressChar"/>
    <w:uiPriority w:val="99"/>
    <w:semiHidden/>
    <w:unhideWhenUsed/>
    <w:rsid w:val="0085016C"/>
    <w:pPr>
      <w:spacing w:before="0" w:after="0" w:line="240" w:lineRule="auto"/>
    </w:pPr>
    <w:rPr>
      <w:rFonts w:ascii="Consolas" w:hAnsi="Consolas"/>
      <w:i/>
      <w:iCs/>
    </w:rPr>
  </w:style>
  <w:style w:type="character" w:customStyle="1" w:styleId="HTMLAddressChar">
    <w:name w:val="HTML Address Char"/>
    <w:basedOn w:val="DefaultParagraphFont"/>
    <w:link w:val="HTMLAddress"/>
    <w:uiPriority w:val="99"/>
    <w:semiHidden/>
    <w:rsid w:val="0085016C"/>
    <w:rPr>
      <w:rFonts w:ascii="Consolas" w:hAnsi="Consolas"/>
      <w:i/>
      <w:iCs/>
      <w:sz w:val="18"/>
      <w:szCs w:val="24"/>
    </w:rPr>
  </w:style>
  <w:style w:type="character" w:styleId="HTMLCite">
    <w:name w:val="HTML Cite"/>
    <w:basedOn w:val="DefaultParagraphFont"/>
    <w:uiPriority w:val="99"/>
    <w:semiHidden/>
    <w:unhideWhenUsed/>
    <w:rsid w:val="0085016C"/>
    <w:rPr>
      <w:rFonts w:ascii="Consolas" w:hAnsi="Consolas"/>
      <w:i/>
      <w:iCs/>
    </w:rPr>
  </w:style>
  <w:style w:type="character" w:styleId="HTMLDefinition">
    <w:name w:val="HTML Definition"/>
    <w:basedOn w:val="DefaultParagraphFont"/>
    <w:uiPriority w:val="99"/>
    <w:semiHidden/>
    <w:unhideWhenUsed/>
    <w:rsid w:val="0085016C"/>
    <w:rPr>
      <w:rFonts w:ascii="Consolas" w:hAnsi="Consolas"/>
      <w:i/>
      <w:iCs/>
    </w:rPr>
  </w:style>
  <w:style w:type="character" w:styleId="HTMLVariable">
    <w:name w:val="HTML Variable"/>
    <w:basedOn w:val="DefaultParagraphFont"/>
    <w:uiPriority w:val="99"/>
    <w:semiHidden/>
    <w:unhideWhenUsed/>
    <w:rsid w:val="0085016C"/>
    <w:rPr>
      <w:rFonts w:ascii="Consolas" w:hAnsi="Consolas"/>
      <w:i/>
      <w:iCs/>
    </w:rPr>
  </w:style>
  <w:style w:type="paragraph" w:styleId="NormalWeb">
    <w:name w:val="Normal (Web)"/>
    <w:basedOn w:val="Normal"/>
    <w:uiPriority w:val="99"/>
    <w:semiHidden/>
    <w:rsid w:val="0085016C"/>
    <w:rPr>
      <w:sz w:val="24"/>
    </w:rPr>
  </w:style>
  <w:style w:type="paragraph" w:styleId="PlainText">
    <w:name w:val="Plain Text"/>
    <w:basedOn w:val="Normal"/>
    <w:link w:val="PlainTextChar"/>
    <w:uiPriority w:val="99"/>
    <w:semiHidden/>
    <w:unhideWhenUsed/>
    <w:rsid w:val="0085016C"/>
    <w:pPr>
      <w:spacing w:before="0" w:after="0" w:line="240" w:lineRule="auto"/>
    </w:pPr>
    <w:rPr>
      <w:sz w:val="21"/>
      <w:szCs w:val="21"/>
    </w:rPr>
  </w:style>
  <w:style w:type="character" w:customStyle="1" w:styleId="PlainTextChar">
    <w:name w:val="Plain Text Char"/>
    <w:basedOn w:val="DefaultParagraphFont"/>
    <w:link w:val="PlainText"/>
    <w:uiPriority w:val="99"/>
    <w:semiHidden/>
    <w:rsid w:val="0085016C"/>
    <w:rPr>
      <w:sz w:val="21"/>
      <w:szCs w:val="21"/>
    </w:rPr>
  </w:style>
  <w:style w:type="character" w:customStyle="1" w:styleId="Heading6Char">
    <w:name w:val="Heading 6 Char"/>
    <w:basedOn w:val="DefaultParagraphFont"/>
    <w:link w:val="Heading6"/>
    <w:uiPriority w:val="9"/>
    <w:semiHidden/>
    <w:rsid w:val="00196F3B"/>
    <w:rPr>
      <w:rFonts w:asciiTheme="majorHAnsi" w:eastAsiaTheme="majorEastAsia" w:hAnsiTheme="majorHAnsi" w:cstheme="majorBidi"/>
      <w:i/>
      <w:iCs/>
      <w:color w:val="24263B" w:themeColor="accent1" w:themeShade="7F"/>
      <w:szCs w:val="24"/>
    </w:rPr>
  </w:style>
  <w:style w:type="paragraph" w:customStyle="1" w:styleId="Memo">
    <w:name w:val="Memo"/>
    <w:basedOn w:val="NORMALFONTBODY"/>
    <w:semiHidden/>
    <w:rsid w:val="0085016C"/>
    <w:pPr>
      <w:spacing w:before="60" w:after="60"/>
    </w:pPr>
    <w:rPr>
      <w:noProof/>
      <w:color w:val="000000" w:themeColor="text1"/>
    </w:rPr>
  </w:style>
  <w:style w:type="paragraph" w:customStyle="1" w:styleId="Subject">
    <w:name w:val="Subject"/>
    <w:basedOn w:val="NORMALFONTHEAD"/>
    <w:uiPriority w:val="9"/>
    <w:semiHidden/>
    <w:rsid w:val="0085016C"/>
    <w:pPr>
      <w:spacing w:before="40" w:after="0" w:line="204" w:lineRule="auto"/>
    </w:pPr>
    <w:rPr>
      <w:b/>
      <w:color w:val="FFFFFF" w:themeColor="text2"/>
      <w:sz w:val="24"/>
    </w:rPr>
  </w:style>
  <w:style w:type="table" w:customStyle="1" w:styleId="SSGATable2">
    <w:name w:val="SSGA Table 2"/>
    <w:basedOn w:val="TableNormal"/>
    <w:uiPriority w:val="99"/>
    <w:rsid w:val="00C20ED1"/>
    <w:tblPr>
      <w:tblInd w:w="360" w:type="dxa"/>
      <w:tblBorders>
        <w:bottom w:val="single" w:sz="4" w:space="0" w:color="808080"/>
        <w:insideH w:val="single" w:sz="4" w:space="0" w:color="CDCDCD"/>
      </w:tblBorders>
      <w:tblCellMar>
        <w:top w:w="43" w:type="dxa"/>
        <w:left w:w="43" w:type="dxa"/>
        <w:bottom w:w="43" w:type="dxa"/>
        <w:right w:w="43" w:type="dxa"/>
      </w:tblCellMar>
    </w:tblPr>
    <w:tblStylePr w:type="lastRow">
      <w:rPr>
        <w:b/>
      </w:rPr>
      <w:tblPr/>
      <w:tcPr>
        <w:shd w:val="clear" w:color="auto" w:fill="CDCDCD"/>
      </w:tcPr>
    </w:tblStylePr>
    <w:tblStylePr w:type="firstCol">
      <w:rPr>
        <w:b/>
      </w:rPr>
      <w:tblPr/>
      <w:tcPr>
        <w:tcBorders>
          <w:right w:val="single" w:sz="4" w:space="0" w:color="808080"/>
        </w:tcBorders>
      </w:tcPr>
    </w:tblStylePr>
  </w:style>
  <w:style w:type="paragraph" w:customStyle="1" w:styleId="Question">
    <w:name w:val="Question"/>
    <w:basedOn w:val="NORMALFONTBODY"/>
    <w:uiPriority w:val="7"/>
    <w:semiHidden/>
    <w:rsid w:val="0085016C"/>
  </w:style>
  <w:style w:type="paragraph" w:customStyle="1" w:styleId="StationHeadline">
    <w:name w:val="Station Headline"/>
    <w:basedOn w:val="Question"/>
    <w:uiPriority w:val="7"/>
    <w:semiHidden/>
    <w:rsid w:val="0084050F"/>
    <w:pPr>
      <w:keepNext/>
      <w:spacing w:after="0"/>
    </w:pPr>
    <w:rPr>
      <w:b/>
    </w:rPr>
  </w:style>
  <w:style w:type="paragraph" w:customStyle="1" w:styleId="Heading2Numbered">
    <w:name w:val="Heading 2 Numbered"/>
    <w:basedOn w:val="Heading2"/>
    <w:uiPriority w:val="1"/>
    <w:semiHidden/>
    <w:rsid w:val="0084050F"/>
    <w:pPr>
      <w:numPr>
        <w:numId w:val="2"/>
      </w:numPr>
      <w:tabs>
        <w:tab w:val="left" w:pos="360"/>
      </w:tabs>
      <w:ind w:left="360"/>
    </w:pPr>
  </w:style>
  <w:style w:type="paragraph" w:customStyle="1" w:styleId="TableRowHead">
    <w:name w:val="Table Row Head"/>
    <w:basedOn w:val="TableText"/>
    <w:uiPriority w:val="5"/>
    <w:semiHidden/>
    <w:rsid w:val="0085016C"/>
    <w:rPr>
      <w:b/>
      <w:color w:val="000000" w:themeColor="text1"/>
    </w:rPr>
  </w:style>
  <w:style w:type="character" w:customStyle="1" w:styleId="FooterChar">
    <w:name w:val="Footer Char"/>
    <w:basedOn w:val="DefaultParagraphFont"/>
    <w:link w:val="Footer"/>
    <w:uiPriority w:val="99"/>
    <w:rsid w:val="00271906"/>
    <w:rPr>
      <w:rFonts w:asciiTheme="majorHAnsi" w:hAnsiTheme="majorHAnsi"/>
      <w:color w:val="000000" w:themeColor="text1"/>
      <w:sz w:val="18"/>
      <w:szCs w:val="24"/>
    </w:rPr>
  </w:style>
  <w:style w:type="character" w:styleId="PlaceholderText">
    <w:name w:val="Placeholder Text"/>
    <w:basedOn w:val="DefaultParagraphFont"/>
    <w:uiPriority w:val="99"/>
    <w:semiHidden/>
    <w:rsid w:val="0085016C"/>
    <w:rPr>
      <w:color w:val="808080"/>
    </w:rPr>
  </w:style>
  <w:style w:type="paragraph" w:customStyle="1" w:styleId="TableBullet">
    <w:name w:val="Table Bullet"/>
    <w:basedOn w:val="TableText"/>
    <w:uiPriority w:val="5"/>
    <w:semiHidden/>
    <w:rsid w:val="00C631EF"/>
    <w:pPr>
      <w:numPr>
        <w:numId w:val="20"/>
      </w:numPr>
      <w:tabs>
        <w:tab w:val="left" w:pos="288"/>
      </w:tabs>
      <w:ind w:left="288" w:hanging="216"/>
    </w:pPr>
  </w:style>
  <w:style w:type="paragraph" w:customStyle="1" w:styleId="ChecklistText">
    <w:name w:val="Checklist Text"/>
    <w:basedOn w:val="Normal"/>
    <w:uiPriority w:val="11"/>
    <w:semiHidden/>
    <w:rsid w:val="00916426"/>
    <w:pPr>
      <w:keepNext/>
      <w:keepLines/>
      <w:pBdr>
        <w:top w:val="single" w:sz="8" w:space="6" w:color="FFFFFF" w:themeColor="text2" w:themeTint="33"/>
        <w:left w:val="single" w:sz="8" w:space="6" w:color="FFFFFF" w:themeColor="text2" w:themeTint="33"/>
        <w:bottom w:val="single" w:sz="8" w:space="6" w:color="FFFFFF" w:themeColor="text2" w:themeTint="33"/>
        <w:right w:val="single" w:sz="8" w:space="6" w:color="FFFFFF" w:themeColor="text2" w:themeTint="33"/>
      </w:pBdr>
      <w:tabs>
        <w:tab w:val="left" w:pos="360"/>
        <w:tab w:val="left" w:pos="720"/>
        <w:tab w:val="left" w:pos="1080"/>
        <w:tab w:val="left" w:pos="1440"/>
      </w:tabs>
      <w:spacing w:before="60" w:after="180" w:line="288" w:lineRule="auto"/>
      <w:ind w:left="360" w:right="360"/>
    </w:pPr>
    <w:rPr>
      <w:sz w:val="18"/>
    </w:rPr>
  </w:style>
  <w:style w:type="paragraph" w:customStyle="1" w:styleId="ChecklistHeadline">
    <w:name w:val="Checklist Headline"/>
    <w:basedOn w:val="ChecklistText"/>
    <w:uiPriority w:val="11"/>
    <w:semiHidden/>
    <w:rsid w:val="0085016C"/>
    <w:pPr>
      <w:spacing w:after="60"/>
    </w:pPr>
    <w:rPr>
      <w:b/>
    </w:rPr>
  </w:style>
  <w:style w:type="paragraph" w:customStyle="1" w:styleId="ChecklistBullet">
    <w:name w:val="Checklist Bullet"/>
    <w:basedOn w:val="ChecklistText"/>
    <w:uiPriority w:val="11"/>
    <w:semiHidden/>
    <w:rsid w:val="0085016C"/>
    <w:pPr>
      <w:numPr>
        <w:numId w:val="1"/>
      </w:numPr>
      <w:tabs>
        <w:tab w:val="clear" w:pos="720"/>
        <w:tab w:val="clear" w:pos="1080"/>
        <w:tab w:val="clear" w:pos="1440"/>
      </w:tabs>
    </w:pPr>
  </w:style>
  <w:style w:type="character" w:customStyle="1" w:styleId="Heading2Char">
    <w:name w:val="Heading 2 Char"/>
    <w:basedOn w:val="DefaultParagraphFont"/>
    <w:link w:val="Heading2"/>
    <w:uiPriority w:val="6"/>
    <w:rsid w:val="00D64E48"/>
    <w:rPr>
      <w:rFonts w:asciiTheme="majorHAnsi" w:hAnsiTheme="majorHAnsi"/>
      <w:color w:val="7AAA6C" w:themeColor="background2"/>
      <w:spacing w:val="-5"/>
      <w:sz w:val="54"/>
    </w:rPr>
  </w:style>
  <w:style w:type="paragraph" w:customStyle="1" w:styleId="Assessment">
    <w:name w:val="Assessment"/>
    <w:basedOn w:val="NORMALFONTHEAD"/>
    <w:uiPriority w:val="11"/>
    <w:semiHidden/>
    <w:rsid w:val="0085016C"/>
    <w:pPr>
      <w:jc w:val="center"/>
    </w:pPr>
    <w:rPr>
      <w:b/>
      <w:sz w:val="28"/>
    </w:rPr>
  </w:style>
  <w:style w:type="paragraph" w:customStyle="1" w:styleId="TableNumber">
    <w:name w:val="Table Number"/>
    <w:basedOn w:val="TableText"/>
    <w:uiPriority w:val="6"/>
    <w:semiHidden/>
    <w:rsid w:val="0084050F"/>
    <w:pPr>
      <w:numPr>
        <w:numId w:val="21"/>
      </w:numPr>
      <w:tabs>
        <w:tab w:val="left" w:pos="432"/>
      </w:tabs>
      <w:ind w:left="432"/>
    </w:pPr>
    <w:rPr>
      <w:color w:val="000000" w:themeColor="text1"/>
    </w:rPr>
  </w:style>
  <w:style w:type="paragraph" w:customStyle="1" w:styleId="TableTextBold">
    <w:name w:val="Table Text Bold"/>
    <w:basedOn w:val="TableText"/>
    <w:uiPriority w:val="4"/>
    <w:semiHidden/>
    <w:rsid w:val="000A7517"/>
    <w:rPr>
      <w:b/>
    </w:rPr>
  </w:style>
  <w:style w:type="paragraph" w:customStyle="1" w:styleId="Folio">
    <w:name w:val="Folio"/>
    <w:basedOn w:val="Subject"/>
    <w:uiPriority w:val="11"/>
    <w:semiHidden/>
    <w:rsid w:val="0093194B"/>
    <w:pPr>
      <w:spacing w:before="0"/>
    </w:pPr>
    <w:rPr>
      <w:sz w:val="18"/>
      <w:szCs w:val="18"/>
    </w:rPr>
  </w:style>
  <w:style w:type="character" w:customStyle="1" w:styleId="Heading1Char">
    <w:name w:val="Heading 1 Char"/>
    <w:basedOn w:val="DefaultParagraphFont"/>
    <w:link w:val="Heading1"/>
    <w:uiPriority w:val="6"/>
    <w:rsid w:val="00D64E48"/>
    <w:rPr>
      <w:rFonts w:asciiTheme="majorHAnsi" w:hAnsiTheme="majorHAnsi"/>
      <w:color w:val="7AAA6C" w:themeColor="background2"/>
      <w:spacing w:val="-5"/>
      <w:sz w:val="72"/>
      <w:szCs w:val="28"/>
    </w:rPr>
  </w:style>
  <w:style w:type="character" w:customStyle="1" w:styleId="Heading3Char">
    <w:name w:val="Heading 3 Char"/>
    <w:basedOn w:val="DefaultParagraphFont"/>
    <w:link w:val="Heading3"/>
    <w:uiPriority w:val="6"/>
    <w:rsid w:val="00D64E48"/>
    <w:rPr>
      <w:rFonts w:asciiTheme="majorHAnsi" w:hAnsiTheme="majorHAnsi"/>
      <w:color w:val="7AAA6C" w:themeColor="background2"/>
      <w:spacing w:val="-5"/>
      <w:sz w:val="36"/>
      <w:szCs w:val="24"/>
    </w:rPr>
  </w:style>
  <w:style w:type="character" w:customStyle="1" w:styleId="Heading4Char">
    <w:name w:val="Heading 4 Char"/>
    <w:basedOn w:val="DefaultParagraphFont"/>
    <w:link w:val="Heading4"/>
    <w:uiPriority w:val="6"/>
    <w:rsid w:val="00D64E48"/>
    <w:rPr>
      <w:rFonts w:asciiTheme="majorHAnsi" w:hAnsiTheme="majorHAnsi"/>
      <w:color w:val="7AAA6C" w:themeColor="background2"/>
      <w:sz w:val="24"/>
      <w:szCs w:val="28"/>
    </w:rPr>
  </w:style>
  <w:style w:type="character" w:customStyle="1" w:styleId="Heading5Char">
    <w:name w:val="Heading 5 Char"/>
    <w:basedOn w:val="DefaultParagraphFont"/>
    <w:link w:val="Heading5"/>
    <w:uiPriority w:val="6"/>
    <w:rsid w:val="00D64E48"/>
    <w:rPr>
      <w:color w:val="7AAA6C" w:themeColor="background2"/>
      <w:spacing w:val="-5"/>
      <w:sz w:val="24"/>
      <w:szCs w:val="26"/>
    </w:rPr>
  </w:style>
  <w:style w:type="character" w:customStyle="1" w:styleId="HeaderChar">
    <w:name w:val="Header Char"/>
    <w:basedOn w:val="DefaultParagraphFont"/>
    <w:link w:val="Header"/>
    <w:uiPriority w:val="99"/>
    <w:semiHidden/>
    <w:rsid w:val="008A43CA"/>
    <w:rPr>
      <w:rFonts w:asciiTheme="majorHAnsi" w:hAnsiTheme="majorHAnsi"/>
      <w:color w:val="7AAA6C" w:themeColor="background2"/>
      <w:sz w:val="16"/>
      <w:szCs w:val="24"/>
    </w:rPr>
  </w:style>
  <w:style w:type="character" w:styleId="CommentReference">
    <w:name w:val="annotation reference"/>
    <w:basedOn w:val="DefaultParagraphFont"/>
    <w:uiPriority w:val="99"/>
    <w:semiHidden/>
    <w:unhideWhenUsed/>
    <w:rsid w:val="00F9288F"/>
    <w:rPr>
      <w:sz w:val="16"/>
      <w:szCs w:val="16"/>
    </w:rPr>
  </w:style>
  <w:style w:type="paragraph" w:styleId="CommentSubject">
    <w:name w:val="annotation subject"/>
    <w:basedOn w:val="CommentText"/>
    <w:next w:val="CommentText"/>
    <w:link w:val="CommentSubjectChar"/>
    <w:uiPriority w:val="99"/>
    <w:semiHidden/>
    <w:unhideWhenUsed/>
    <w:rsid w:val="00F9288F"/>
    <w:pPr>
      <w:keepLines w:val="0"/>
      <w:tabs>
        <w:tab w:val="clear" w:pos="2160"/>
      </w:tabs>
      <w:spacing w:after="200" w:line="240" w:lineRule="auto"/>
    </w:pPr>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F9288F"/>
    <w:rPr>
      <w:rFonts w:eastAsiaTheme="minorHAnsi" w:cstheme="minorBidi"/>
      <w:b/>
      <w:bCs/>
      <w:color w:val="003C69"/>
    </w:rPr>
  </w:style>
  <w:style w:type="paragraph" w:styleId="TOCHeading">
    <w:name w:val="TOC Heading"/>
    <w:basedOn w:val="Heading1"/>
    <w:next w:val="Normal"/>
    <w:uiPriority w:val="39"/>
    <w:semiHidden/>
    <w:unhideWhenUsed/>
    <w:qFormat/>
    <w:rsid w:val="00F9288F"/>
    <w:pPr>
      <w:keepLines/>
      <w:spacing w:before="480" w:after="0" w:line="276" w:lineRule="auto"/>
      <w:outlineLvl w:val="9"/>
    </w:pPr>
    <w:rPr>
      <w:rFonts w:eastAsiaTheme="majorEastAsia" w:cstheme="majorBidi"/>
      <w:b/>
      <w:bCs/>
      <w:color w:val="373958" w:themeColor="accent1" w:themeShade="BF"/>
      <w:spacing w:val="0"/>
      <w:lang w:eastAsia="ja-JP"/>
    </w:rPr>
  </w:style>
  <w:style w:type="paragraph" w:styleId="TOC1">
    <w:name w:val="toc 1"/>
    <w:basedOn w:val="Normal"/>
    <w:next w:val="Normal"/>
    <w:autoRedefine/>
    <w:uiPriority w:val="39"/>
    <w:semiHidden/>
    <w:rsid w:val="00C8750A"/>
    <w:pPr>
      <w:tabs>
        <w:tab w:val="right" w:leader="dot" w:pos="7733"/>
      </w:tabs>
      <w:spacing w:after="100"/>
      <w:ind w:right="2880"/>
    </w:pPr>
  </w:style>
  <w:style w:type="paragraph" w:styleId="TOC2">
    <w:name w:val="toc 2"/>
    <w:basedOn w:val="Normal"/>
    <w:next w:val="Normal"/>
    <w:autoRedefine/>
    <w:uiPriority w:val="39"/>
    <w:semiHidden/>
    <w:rsid w:val="00F9288F"/>
    <w:pPr>
      <w:spacing w:after="100"/>
      <w:ind w:left="202" w:right="2880"/>
    </w:pPr>
  </w:style>
  <w:style w:type="paragraph" w:styleId="ListParagraph">
    <w:name w:val="List Paragraph"/>
    <w:basedOn w:val="Normal"/>
    <w:uiPriority w:val="34"/>
    <w:qFormat/>
    <w:rsid w:val="00B11BB0"/>
    <w:pPr>
      <w:spacing w:before="0" w:after="0" w:line="240" w:lineRule="auto"/>
      <w:ind w:left="720"/>
    </w:pPr>
    <w:rPr>
      <w:rFonts w:ascii="Times New Roman" w:hAnsi="Times New Roman"/>
      <w:sz w:val="24"/>
      <w:szCs w:val="20"/>
    </w:rPr>
  </w:style>
  <w:style w:type="paragraph" w:customStyle="1" w:styleId="BodyTextLessSpace">
    <w:name w:val="Body Text Less Space"/>
    <w:basedOn w:val="BodyText"/>
    <w:uiPriority w:val="1"/>
    <w:semiHidden/>
    <w:rsid w:val="00CA25EF"/>
    <w:pPr>
      <w:spacing w:before="80" w:after="80"/>
    </w:pPr>
  </w:style>
  <w:style w:type="paragraph" w:customStyle="1" w:styleId="ListBulletLessSpace">
    <w:name w:val="List Bullet Less Space"/>
    <w:basedOn w:val="ListBullet"/>
    <w:uiPriority w:val="2"/>
    <w:semiHidden/>
    <w:rsid w:val="00CA25EF"/>
    <w:pPr>
      <w:tabs>
        <w:tab w:val="left" w:pos="504"/>
      </w:tabs>
      <w:spacing w:after="60" w:line="264" w:lineRule="auto"/>
    </w:pPr>
  </w:style>
  <w:style w:type="paragraph" w:customStyle="1" w:styleId="ListBullet2LessSpace">
    <w:name w:val="List Bullet 2 Less Space"/>
    <w:basedOn w:val="ListBullet2"/>
    <w:uiPriority w:val="2"/>
    <w:semiHidden/>
    <w:rsid w:val="006F2D99"/>
    <w:pPr>
      <w:numPr>
        <w:numId w:val="0"/>
      </w:numPr>
      <w:tabs>
        <w:tab w:val="left" w:pos="864"/>
      </w:tabs>
      <w:spacing w:before="20" w:after="20"/>
      <w:ind w:left="864" w:hanging="360"/>
    </w:pPr>
  </w:style>
  <w:style w:type="paragraph" w:styleId="Subtitle">
    <w:name w:val="Subtitle"/>
    <w:next w:val="Normal"/>
    <w:link w:val="SubtitleChar"/>
    <w:uiPriority w:val="11"/>
    <w:rsid w:val="008A43CA"/>
    <w:pPr>
      <w:numPr>
        <w:ilvl w:val="1"/>
      </w:numPr>
      <w:spacing w:line="240" w:lineRule="exact"/>
    </w:pPr>
    <w:rPr>
      <w:rFonts w:asciiTheme="majorHAnsi" w:eastAsiaTheme="majorEastAsia" w:hAnsiTheme="majorHAnsi" w:cstheme="majorBidi"/>
      <w:iCs/>
      <w:color w:val="000000" w:themeColor="text1"/>
      <w:sz w:val="18"/>
      <w:szCs w:val="24"/>
    </w:rPr>
  </w:style>
  <w:style w:type="character" w:customStyle="1" w:styleId="SubtitleChar">
    <w:name w:val="Subtitle Char"/>
    <w:basedOn w:val="DefaultParagraphFont"/>
    <w:link w:val="Subtitle"/>
    <w:uiPriority w:val="11"/>
    <w:rsid w:val="008A43CA"/>
    <w:rPr>
      <w:rFonts w:asciiTheme="majorHAnsi" w:eastAsiaTheme="majorEastAsia" w:hAnsiTheme="majorHAnsi" w:cstheme="majorBidi"/>
      <w:iCs/>
      <w:color w:val="000000" w:themeColor="text1"/>
      <w:sz w:val="18"/>
      <w:szCs w:val="24"/>
    </w:rPr>
  </w:style>
  <w:style w:type="paragraph" w:customStyle="1" w:styleId="CoverText">
    <w:name w:val="Cover Text"/>
    <w:basedOn w:val="NORMALFONTBODY"/>
    <w:uiPriority w:val="7"/>
    <w:semiHidden/>
    <w:rsid w:val="00F41B53"/>
    <w:pPr>
      <w:spacing w:before="0" w:after="0" w:line="240" w:lineRule="auto"/>
    </w:pPr>
    <w:rPr>
      <w:sz w:val="24"/>
    </w:rPr>
  </w:style>
  <w:style w:type="paragraph" w:customStyle="1" w:styleId="CoverName">
    <w:name w:val="Cover Name"/>
    <w:basedOn w:val="CoverText"/>
    <w:uiPriority w:val="7"/>
    <w:semiHidden/>
    <w:rsid w:val="003D4FE1"/>
    <w:pPr>
      <w:spacing w:before="300"/>
    </w:pPr>
  </w:style>
  <w:style w:type="character" w:styleId="FollowedHyperlink">
    <w:name w:val="FollowedHyperlink"/>
    <w:uiPriority w:val="99"/>
    <w:semiHidden/>
    <w:unhideWhenUsed/>
    <w:rsid w:val="003A6ECB"/>
    <w:rPr>
      <w:rFonts w:asciiTheme="majorHAnsi" w:hAnsiTheme="majorHAnsi"/>
      <w:color w:val="908BB0" w:themeColor="followedHyperlink"/>
      <w:u w:val="none"/>
    </w:rPr>
  </w:style>
  <w:style w:type="paragraph" w:customStyle="1" w:styleId="QuestionNumbered">
    <w:name w:val="Question (Numbered)"/>
    <w:basedOn w:val="NORMALFONTBODY"/>
    <w:uiPriority w:val="2"/>
    <w:semiHidden/>
    <w:rsid w:val="00E72E09"/>
    <w:pPr>
      <w:numPr>
        <w:numId w:val="23"/>
      </w:numPr>
      <w:tabs>
        <w:tab w:val="left" w:pos="259"/>
      </w:tabs>
      <w:spacing w:before="240" w:line="240" w:lineRule="exact"/>
    </w:pPr>
    <w:rPr>
      <w:rFonts w:eastAsia="ヒラギノ角ゴ Pro W3"/>
      <w:b/>
      <w:sz w:val="22"/>
    </w:rPr>
  </w:style>
  <w:style w:type="paragraph" w:customStyle="1" w:styleId="sectionbreak">
    <w:name w:val="section_break"/>
    <w:uiPriority w:val="11"/>
    <w:rsid w:val="008A43CA"/>
    <w:pPr>
      <w:spacing w:after="360" w:line="20" w:lineRule="exact"/>
    </w:pPr>
    <w:rPr>
      <w:sz w:val="12"/>
      <w:szCs w:val="24"/>
    </w:rPr>
  </w:style>
  <w:style w:type="paragraph" w:customStyle="1" w:styleId="Headersecond">
    <w:name w:val="Header_second"/>
    <w:uiPriority w:val="11"/>
    <w:rsid w:val="008A43CA"/>
    <w:rPr>
      <w:rFonts w:asciiTheme="majorHAnsi" w:hAnsiTheme="majorHAnsi"/>
      <w:color w:val="808080" w:themeColor="background1"/>
      <w:sz w:val="16"/>
      <w:szCs w:val="24"/>
    </w:rPr>
  </w:style>
  <w:style w:type="paragraph" w:customStyle="1" w:styleId="HeaderRunning">
    <w:name w:val="Header Running"/>
    <w:uiPriority w:val="11"/>
    <w:rsid w:val="00D64E48"/>
    <w:rPr>
      <w:rFonts w:asciiTheme="majorHAnsi" w:hAnsiTheme="majorHAnsi"/>
      <w:color w:val="7AAA6C" w:themeColor="background2"/>
      <w:sz w:val="18"/>
      <w:szCs w:val="24"/>
    </w:rPr>
  </w:style>
  <w:style w:type="paragraph" w:customStyle="1" w:styleId="HeaderFirst">
    <w:name w:val="Header First"/>
    <w:uiPriority w:val="11"/>
    <w:rsid w:val="008A43CA"/>
    <w:rPr>
      <w:rFonts w:asciiTheme="majorHAnsi" w:hAnsiTheme="majorHAnsi"/>
      <w:color w:val="7AAA6C" w:themeColor="background2"/>
      <w:sz w:val="16"/>
      <w:szCs w:val="24"/>
    </w:rPr>
  </w:style>
  <w:style w:type="paragraph" w:customStyle="1" w:styleId="TableCell">
    <w:name w:val="Table Cell"/>
    <w:uiPriority w:val="11"/>
    <w:qFormat/>
    <w:rsid w:val="00FB308E"/>
    <w:rPr>
      <w:sz w:val="18"/>
      <w:szCs w:val="16"/>
    </w:rPr>
  </w:style>
  <w:style w:type="paragraph" w:customStyle="1" w:styleId="TableHeader">
    <w:name w:val="Table Header"/>
    <w:uiPriority w:val="11"/>
    <w:qFormat/>
    <w:rsid w:val="00E64B78"/>
    <w:rPr>
      <w:b/>
      <w:sz w:val="18"/>
      <w:szCs w:val="16"/>
    </w:rPr>
  </w:style>
  <w:style w:type="character" w:customStyle="1" w:styleId="italic">
    <w:name w:val="italic"/>
    <w:basedOn w:val="DefaultParagraphFont"/>
    <w:uiPriority w:val="1"/>
    <w:rsid w:val="0094553D"/>
    <w:rPr>
      <w:i/>
    </w:rPr>
  </w:style>
  <w:style w:type="character" w:customStyle="1" w:styleId="bold">
    <w:name w:val="bold"/>
    <w:basedOn w:val="DefaultParagraphFont"/>
    <w:uiPriority w:val="1"/>
    <w:rsid w:val="0094553D"/>
    <w:rPr>
      <w:b/>
    </w:rPr>
  </w:style>
  <w:style w:type="character" w:customStyle="1" w:styleId="underline">
    <w:name w:val="underline"/>
    <w:basedOn w:val="DefaultParagraphFont"/>
    <w:uiPriority w:val="1"/>
    <w:rsid w:val="0094553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567447\AppData\Roaming\Microsoft\Templates\SSGA\SSGA_WordH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F7FFCC34F452B8074CDCA7BDF756E"/>
        <w:category>
          <w:name w:val="General"/>
          <w:gallery w:val="placeholder"/>
        </w:category>
        <w:types>
          <w:type w:val="bbPlcHdr"/>
        </w:types>
        <w:behaviors>
          <w:behavior w:val="content"/>
        </w:behaviors>
        <w:guid w:val="{50C1AF63-E34E-40B5-BB90-279F23DE1D5A}"/>
      </w:docPartPr>
      <w:docPartBody>
        <w:p w:rsidR="00E321DB" w:rsidRDefault="00C3443B">
          <w:pPr>
            <w:pStyle w:val="44EF7FFCC34F452B8074CDCA7BDF756E"/>
          </w:pPr>
          <w:r w:rsidRPr="0042469C">
            <w:rPr>
              <w:rStyle w:val="PlaceholderText"/>
            </w:rPr>
            <w:t>[Title]</w:t>
          </w:r>
        </w:p>
      </w:docPartBody>
    </w:docPart>
    <w:docPart>
      <w:docPartPr>
        <w:name w:val="C5521F876794471C9055600A4A6F1471"/>
        <w:category>
          <w:name w:val="General"/>
          <w:gallery w:val="placeholder"/>
        </w:category>
        <w:types>
          <w:type w:val="bbPlcHdr"/>
        </w:types>
        <w:behaviors>
          <w:behavior w:val="content"/>
        </w:behaviors>
        <w:guid w:val="{6F6D21BA-4E9A-403B-8833-20EA4DCA85B9}"/>
      </w:docPartPr>
      <w:docPartBody>
        <w:p w:rsidR="00E321DB" w:rsidRDefault="00C3443B">
          <w:pPr>
            <w:pStyle w:val="C5521F876794471C9055600A4A6F1471"/>
          </w:pPr>
          <w:r w:rsidRPr="00D478CC">
            <w:rPr>
              <w:rStyle w:val="PlaceholderText"/>
            </w:rPr>
            <w:t>Choose an item.</w:t>
          </w:r>
        </w:p>
      </w:docPartBody>
    </w:docPart>
    <w:docPart>
      <w:docPartPr>
        <w:name w:val="6A8CDCF8E34249BD91A21EFEC7140E13"/>
        <w:category>
          <w:name w:val="General"/>
          <w:gallery w:val="placeholder"/>
        </w:category>
        <w:types>
          <w:type w:val="bbPlcHdr"/>
        </w:types>
        <w:behaviors>
          <w:behavior w:val="content"/>
        </w:behaviors>
        <w:guid w:val="{4F9D0533-1005-4F5D-895C-577E9EAC8A36}"/>
      </w:docPartPr>
      <w:docPartBody>
        <w:p w:rsidR="00E321DB" w:rsidRDefault="00C3443B">
          <w:pPr>
            <w:pStyle w:val="6A8CDCF8E34249BD91A21EFEC7140E13"/>
          </w:pPr>
          <w:r w:rsidRPr="0042469C">
            <w:rPr>
              <w:rStyle w:val="PlaceholderText"/>
            </w:rPr>
            <w:t>[Title]</w:t>
          </w:r>
        </w:p>
      </w:docPartBody>
    </w:docPart>
    <w:docPart>
      <w:docPartPr>
        <w:name w:val="31D242B2DD81481DBEE9EF43336194E6"/>
        <w:category>
          <w:name w:val="General"/>
          <w:gallery w:val="placeholder"/>
        </w:category>
        <w:types>
          <w:type w:val="bbPlcHdr"/>
        </w:types>
        <w:behaviors>
          <w:behavior w:val="content"/>
        </w:behaviors>
        <w:guid w:val="{6B2CA594-CC80-4BDD-B2B0-9DD97B611F98}"/>
      </w:docPartPr>
      <w:docPartBody>
        <w:p w:rsidR="00E321DB" w:rsidRDefault="00C3443B">
          <w:pPr>
            <w:pStyle w:val="31D242B2DD81481DBEE9EF43336194E6"/>
          </w:pPr>
          <w:r w:rsidRPr="00D478CC">
            <w:rPr>
              <w:rStyle w:val="PlaceholderText"/>
            </w:rPr>
            <w:t>Click here to enter text.</w:t>
          </w:r>
        </w:p>
      </w:docPartBody>
    </w:docPart>
    <w:docPart>
      <w:docPartPr>
        <w:name w:val="0E55696078C14D8AA0518A0C15B51A3B"/>
        <w:category>
          <w:name w:val="General"/>
          <w:gallery w:val="placeholder"/>
        </w:category>
        <w:types>
          <w:type w:val="bbPlcHdr"/>
        </w:types>
        <w:behaviors>
          <w:behavior w:val="content"/>
        </w:behaviors>
        <w:guid w:val="{F9B09628-E296-470D-BC90-28166F37680C}"/>
      </w:docPartPr>
      <w:docPartBody>
        <w:p w:rsidR="00912B60" w:rsidRDefault="00E321DB" w:rsidP="00E321DB">
          <w:pPr>
            <w:pStyle w:val="0E55696078C14D8AA0518A0C15B51A3B"/>
          </w:pPr>
          <w:r w:rsidRPr="0042469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ArialMT">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ICTFontTextStyleBody">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3B"/>
    <w:rsid w:val="001B55AF"/>
    <w:rsid w:val="00912B60"/>
    <w:rsid w:val="00C3443B"/>
    <w:rsid w:val="00DD5B79"/>
    <w:rsid w:val="00E26AD0"/>
    <w:rsid w:val="00E3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21DB"/>
    <w:rPr>
      <w:color w:val="808080"/>
    </w:rPr>
  </w:style>
  <w:style w:type="paragraph" w:customStyle="1" w:styleId="44EF7FFCC34F452B8074CDCA7BDF756E">
    <w:name w:val="44EF7FFCC34F452B8074CDCA7BDF756E"/>
  </w:style>
  <w:style w:type="paragraph" w:customStyle="1" w:styleId="C5521F876794471C9055600A4A6F1471">
    <w:name w:val="C5521F876794471C9055600A4A6F1471"/>
  </w:style>
  <w:style w:type="paragraph" w:customStyle="1" w:styleId="6A8CDCF8E34249BD91A21EFEC7140E13">
    <w:name w:val="6A8CDCF8E34249BD91A21EFEC7140E13"/>
  </w:style>
  <w:style w:type="paragraph" w:customStyle="1" w:styleId="31D242B2DD81481DBEE9EF43336194E6">
    <w:name w:val="31D242B2DD81481DBEE9EF43336194E6"/>
  </w:style>
  <w:style w:type="paragraph" w:customStyle="1" w:styleId="0E55696078C14D8AA0518A0C15B51A3B">
    <w:name w:val="0E55696078C14D8AA0518A0C15B51A3B"/>
    <w:rsid w:val="00E321D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WiP_Theme_from_PPT">
  <a:themeElements>
    <a:clrScheme name="SSGA Colors 2014">
      <a:dk1>
        <a:srgbClr val="000000"/>
      </a:dk1>
      <a:lt1>
        <a:srgbClr val="808080"/>
      </a:lt1>
      <a:dk2>
        <a:srgbClr val="FFFFFF"/>
      </a:dk2>
      <a:lt2>
        <a:srgbClr val="7AAA6C"/>
      </a:lt2>
      <a:accent1>
        <a:srgbClr val="4A4D77"/>
      </a:accent1>
      <a:accent2>
        <a:srgbClr val="6BBDB9"/>
      </a:accent2>
      <a:accent3>
        <a:srgbClr val="D4D2AA"/>
      </a:accent3>
      <a:accent4>
        <a:srgbClr val="D38A28"/>
      </a:accent4>
      <a:accent5>
        <a:srgbClr val="6A5649"/>
      </a:accent5>
      <a:accent6>
        <a:srgbClr val="6EA4CE"/>
      </a:accent6>
      <a:hlink>
        <a:srgbClr val="2C639E"/>
      </a:hlink>
      <a:folHlink>
        <a:srgbClr val="908BB0"/>
      </a:folHlink>
    </a:clrScheme>
    <a:fontScheme name="Custom 6">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defPPr>
          <a:defRPr sz="1500" dirty="0" err="1" smtClean="0">
            <a:solidFill>
              <a:schemeClr val="tx2"/>
            </a:solidFill>
          </a:defRPr>
        </a:defPPr>
      </a:lstStyle>
      <a:style>
        <a:lnRef idx="1">
          <a:schemeClr val="accent1"/>
        </a:lnRef>
        <a:fillRef idx="3">
          <a:schemeClr val="accent1"/>
        </a:fillRef>
        <a:effectRef idx="2">
          <a:schemeClr val="accent1"/>
        </a:effectRef>
        <a:fontRef idx="minor">
          <a:schemeClr val="lt1"/>
        </a:fontRef>
      </a:style>
    </a:spDef>
    <a:lnDef>
      <a:spPr>
        <a:ln w="6350">
          <a:solidFill>
            <a:schemeClr val="bg1"/>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sz="1500" dirty="0" err="1" smtClean="0">
            <a:solidFill>
              <a:schemeClr val="bg1"/>
            </a:solidFill>
          </a:defRPr>
        </a:defPPr>
      </a:lstStyle>
    </a:txDef>
  </a:objectDefaults>
  <a:extraClrSchemeLst/>
  <a:extLst>
    <a:ext uri="{05A4C25C-085E-4340-85A3-A5531E510DB2}">
      <thm15:themeFamily xmlns:thm15="http://schemas.microsoft.com/office/thememl/2012/main" name="WiP_Theme_from_PPT" id="{C558A389-F3E4-4777-9184-8BBF4C74B529}" vid="{46BB059E-4E7E-4D17-A4E5-30A40F721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ist_level>ssga.com</dist_level>
</root>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D2DCB782-FC6F-44A4-985A-7D7D2EA0703E}">
  <ds:schemaRefs/>
</ds:datastoreItem>
</file>

<file path=customXml/itemProps2.xml><?xml version="1.0" encoding="utf-8"?>
<ds:datastoreItem xmlns:ds="http://schemas.openxmlformats.org/officeDocument/2006/customXml" ds:itemID="{103E4331-4FB2-438C-9D32-704521E6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SSGA_WordH_A4</Template>
  <TotalTime>0</TotalTime>
  <Pages>1</Pages>
  <Words>2705</Words>
  <Characters>14121</Characters>
  <Application>Microsoft Office Word</Application>
  <DocSecurity>0</DocSecurity>
  <Lines>403</Lines>
  <Paragraphs>247</Paragraphs>
  <ScaleCrop>false</ScaleCrop>
  <HeadingPairs>
    <vt:vector size="2" baseType="variant">
      <vt:variant>
        <vt:lpstr>Title</vt:lpstr>
      </vt:variant>
      <vt:variant>
        <vt:i4>1</vt:i4>
      </vt:variant>
    </vt:vector>
  </HeadingPairs>
  <TitlesOfParts>
    <vt:vector size="1" baseType="lpstr">
      <vt:lpstr>State Street Global Advisors Ireland Limited (“SSGA”) Quality of Execution Assessment Report</vt:lpstr>
    </vt:vector>
  </TitlesOfParts>
  <LinksUpToDate>false</LinksUpToDate>
  <CharactersWithSpaces>16579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Street Global Advisors Ireland Limited (“SSGA”) Quality of Execution Assessment Report</dc:title>
  <dc:creator>James, Mathews</dc:creator>
  <cp:keywords>General</cp:keywords>
  <cp:lastModifiedBy/>
  <cp:revision>1</cp:revision>
  <dcterms:created xsi:type="dcterms:W3CDTF">2020-04-30T18:27:00Z</dcterms:created>
  <dcterms:modified xsi:type="dcterms:W3CDTF">2020-04-30T18:27:00Z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8630134b-3dd7-4309-a47f-c77b91d04b19</vt:lpwstr>
  </property>
  <property fmtid="{D5CDD505-2E9C-101B-9397-08002B2CF9AE}" pid="3" name="_AdHocReviewCycleID">
    <vt:i4>-1661520370</vt:i4>
  </property>
  <property fmtid="{D5CDD505-2E9C-101B-9397-08002B2CF9AE}" pid="4" name="_NewReviewCycle">
    <vt:lpwstr/>
  </property>
  <property fmtid="{D5CDD505-2E9C-101B-9397-08002B2CF9AE}" pid="5" name="_PreviousAdHocReviewCycleID">
    <vt:i4>1678059000</vt:i4>
  </property>
  <property fmtid="{D5CDD505-2E9C-101B-9397-08002B2CF9AE}" pid="6" name="_ReviewingToolsShownOnce">
    <vt:lpwstr/>
  </property>
  <property fmtid="{D5CDD505-2E9C-101B-9397-08002B2CF9AE}" pid="7" name="SSCClassification">
    <vt:lpwstr>G</vt:lpwstr>
  </property>
  <property fmtid="{D5CDD505-2E9C-101B-9397-08002B2CF9AE}" pid="8" name="SSCVisualMarks">
    <vt:lpwstr>Y</vt:lpwstr>
  </property>
</Properties>
</file>